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kinsoku/>
        <w:autoSpaceDE/>
        <w:autoSpaceDN w:val="0"/>
        <w:spacing w:line="432" w:lineRule="atLeast"/>
        <w:ind w:leftChars="0" w:firstLine="0"/>
        <w:jc w:val="center"/>
        <w:rPr>
          <w:rFonts w:hint="eastAsia" w:ascii="宋体" w:hAnsi="宋体"/>
          <w:b/>
          <w:i w:val="0"/>
          <w:snapToGrid/>
          <w:color w:val="333333"/>
          <w:sz w:val="36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i w:val="0"/>
          <w:snapToGrid/>
          <w:color w:val="333333"/>
          <w:sz w:val="36"/>
          <w:shd w:val="clear" w:color="auto" w:fill="FFFFFF"/>
          <w:lang w:val="en-US" w:eastAsia="zh-CN"/>
        </w:rPr>
        <w:t>广州市越秀区应急管理局2020年政府信息公开</w:t>
      </w:r>
    </w:p>
    <w:p>
      <w:pPr>
        <w:shd w:val="solid" w:color="FFFFFF" w:fill="auto"/>
        <w:kinsoku/>
        <w:autoSpaceDE/>
        <w:autoSpaceDN w:val="0"/>
        <w:spacing w:line="432" w:lineRule="atLeast"/>
        <w:ind w:leftChars="0" w:firstLine="0"/>
        <w:jc w:val="center"/>
        <w:rPr>
          <w:rFonts w:hint="default" w:ascii="宋体" w:hAnsi="宋体" w:eastAsia="宋体"/>
          <w:b/>
          <w:i w:val="0"/>
          <w:snapToGrid/>
          <w:color w:val="333333"/>
          <w:sz w:val="36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i w:val="0"/>
          <w:snapToGrid/>
          <w:color w:val="333333"/>
          <w:sz w:val="36"/>
          <w:shd w:val="clear" w:color="auto" w:fill="FFFFFF"/>
          <w:lang w:val="en-US" w:eastAsia="zh-CN"/>
        </w:rPr>
        <w:t>工作年度报告</w:t>
      </w:r>
    </w:p>
    <w:p>
      <w:pPr>
        <w:shd w:val="solid" w:color="FFFFFF" w:fill="auto"/>
        <w:kinsoku/>
        <w:autoSpaceDE/>
        <w:autoSpaceDN w:val="0"/>
        <w:spacing w:line="432" w:lineRule="atLeast"/>
        <w:ind w:leftChars="0" w:firstLine="420"/>
        <w:jc w:val="both"/>
        <w:rPr>
          <w:rFonts w:hint="default" w:ascii="宋体" w:hAnsi="宋体" w:eastAsia="宋体"/>
          <w:b w:val="0"/>
          <w:i w:val="0"/>
          <w:snapToGrid/>
          <w:color w:val="333333"/>
          <w:sz w:val="24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line="432" w:lineRule="atLeas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 xml:space="preserve">    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广州市越秀区应急管理局严格按照《中华人民共和国政府信息公开条例》、《广州市政府信息公开规定》、《广州市依申请公开政府信息办法》的要求，坚持“公开为原则，不公开为例外”原则做好信息公开工作，确保公民、法人和其他组织依法获取安全生产工作信息，提高安全生产工作的透明度，充分发挥政府信息对人民群众生产、生活和经济社会活动的服务作用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主动公开情况。在主动公开信息工作中，为方便公众了解信息，我局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充分利用媒体网站推进应急管理领域信息公开，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新媒体“南方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”平台、越秀区政府门户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、报纸及单位公告栏等平台全年共主动公开政府信息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条（越秀区政府门户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59条、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南方+830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，微博204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、市级以上媒体54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、广州市应急局信息网5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420" w:leftChars="0" w:right="0" w:righ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420" w:leftChars="0" w:right="0" w:righ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2370" cy="3039745"/>
            <wp:effectExtent l="4445" t="4445" r="13335" b="2286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组织领导情况。为加强对政府信息公开工作的领导，区应急管理局成立由局长任组长的政府信息公开工作领导小组，负责政府信息公开工作的统筹安排。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三）落实工作制度情况。根据《政府信息公开条例》的要求，落实了区信息公开相关制度，推进政府信息公开工作走向规范化轨道。制定了信息公开工作方案，建立了保密制度，并严格实行信息公开保密审查，敏感信息、涉密信息都未公开，年内未发生泄密事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（四）制定和落实相关配套措施情况。以越秀区门户网站为政府信息公开的第一平台，加大了网上公开力度，确定了网站信息员，进一步加强了网站的信息报送和维护工作，确保了政务公开工作的常态化。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drawing>
          <wp:inline distT="0" distB="0" distL="114300" distR="114300">
            <wp:extent cx="5012055" cy="4076065"/>
            <wp:effectExtent l="0" t="0" r="1714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2055" cy="407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kinsoku/>
        <w:autoSpaceDE/>
        <w:autoSpaceDN w:val="0"/>
        <w:spacing w:line="432" w:lineRule="atLeast"/>
        <w:jc w:val="both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 xml:space="preserve">    二、主动公开政府信息情况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ab/>
      </w:r>
    </w:p>
    <w:tbl>
      <w:tblPr>
        <w:tblStyle w:val="4"/>
        <w:tblW w:w="8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C6D9F1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C6D9F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C6D9F1"/>
                <w:lang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信息内容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本年新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制作数量</w:t>
            </w:r>
          </w:p>
        </w:tc>
        <w:tc>
          <w:tcPr>
            <w:tcW w:w="127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本年新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公开数量</w:t>
            </w:r>
          </w:p>
        </w:tc>
        <w:tc>
          <w:tcPr>
            <w:tcW w:w="188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规章</w:t>
            </w:r>
          </w:p>
        </w:tc>
        <w:tc>
          <w:tcPr>
            <w:tcW w:w="1875" w:type="dxa"/>
            <w:shd w:val="solid" w:color="FFFFFF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271" w:type="dxa"/>
            <w:shd w:val="solid" w:color="FFFFFF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81" w:type="dxa"/>
            <w:shd w:val="solid" w:color="FFFFFF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规范性文件</w:t>
            </w:r>
          </w:p>
        </w:tc>
        <w:tc>
          <w:tcPr>
            <w:tcW w:w="1875" w:type="dxa"/>
            <w:shd w:val="solid" w:color="FFFFFF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271" w:type="dxa"/>
            <w:shd w:val="solid" w:color="FFFFFF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81" w:type="dxa"/>
            <w:shd w:val="solid" w:color="FFFFFF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C6D9F1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C6D9F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C6D9F1"/>
                <w:lang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信息内容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上一年项目数量</w:t>
            </w:r>
          </w:p>
        </w:tc>
        <w:tc>
          <w:tcPr>
            <w:tcW w:w="127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本年增/减</w:t>
            </w:r>
          </w:p>
        </w:tc>
        <w:tc>
          <w:tcPr>
            <w:tcW w:w="188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行政许可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8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其他对外管理服务事项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8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C6D9F1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C6D9F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C6D9F1"/>
                <w:lang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信息内容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上一年项目数量</w:t>
            </w:r>
          </w:p>
        </w:tc>
        <w:tc>
          <w:tcPr>
            <w:tcW w:w="127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本年增/减</w:t>
            </w:r>
          </w:p>
        </w:tc>
        <w:tc>
          <w:tcPr>
            <w:tcW w:w="188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行政处罚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160</w:t>
            </w:r>
          </w:p>
        </w:tc>
        <w:tc>
          <w:tcPr>
            <w:tcW w:w="127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8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行政强制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27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88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C6D9F1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C6D9F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C6D9F1"/>
                <w:lang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信息内容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上一年项目数量</w:t>
            </w:r>
          </w:p>
        </w:tc>
        <w:tc>
          <w:tcPr>
            <w:tcW w:w="3152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行政事业性收费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3152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shd w:val="solid" w:color="C6D9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C6D9F1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C6D9F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C6D9F1"/>
                <w:lang w:eastAsia="zh-CN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信息内容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采购项目数量</w:t>
            </w:r>
          </w:p>
        </w:tc>
        <w:tc>
          <w:tcPr>
            <w:tcW w:w="3152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采购总金额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万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政府集中采购</w:t>
            </w:r>
          </w:p>
        </w:tc>
        <w:tc>
          <w:tcPr>
            <w:tcW w:w="18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152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val="en-US" w:eastAsia="zh-CN"/>
              </w:rPr>
              <w:t>27.37</w:t>
            </w:r>
          </w:p>
        </w:tc>
      </w:tr>
    </w:tbl>
    <w:p>
      <w:pPr>
        <w:shd w:val="solid" w:color="FFFFFF" w:fill="auto"/>
        <w:kinsoku/>
        <w:autoSpaceDE/>
        <w:autoSpaceDN w:val="0"/>
        <w:spacing w:line="432" w:lineRule="atLeast"/>
        <w:jc w:val="both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 xml:space="preserve">   三、收到和处理政府信息公开申请情况</w:t>
      </w:r>
    </w:p>
    <w:tbl>
      <w:tblPr>
        <w:tblStyle w:val="4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668"/>
        <w:gridCol w:w="1666"/>
        <w:gridCol w:w="1"/>
        <w:gridCol w:w="1665"/>
        <w:gridCol w:w="1"/>
        <w:gridCol w:w="644"/>
        <w:gridCol w:w="1"/>
        <w:gridCol w:w="773"/>
        <w:gridCol w:w="1"/>
        <w:gridCol w:w="773"/>
        <w:gridCol w:w="1"/>
        <w:gridCol w:w="773"/>
        <w:gridCol w:w="1"/>
        <w:gridCol w:w="644"/>
        <w:gridCol w:w="1"/>
        <w:gridCol w:w="2"/>
        <w:gridCol w:w="642"/>
        <w:gridCol w:w="1"/>
        <w:gridCol w:w="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21" w:type="dxa"/>
            <w:gridSpan w:val="4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926" w:type="dxa"/>
            <w:gridSpan w:val="17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0" w:hRule="atLeast"/>
          <w:jc w:val="center"/>
        </w:trPr>
        <w:tc>
          <w:tcPr>
            <w:tcW w:w="2721" w:type="dxa"/>
            <w:gridSpan w:val="4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gridSpan w:val="2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自然人</w:t>
            </w:r>
          </w:p>
        </w:tc>
        <w:tc>
          <w:tcPr>
            <w:tcW w:w="3614" w:type="dxa"/>
            <w:gridSpan w:val="11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法人或其他组织</w:t>
            </w:r>
          </w:p>
        </w:tc>
        <w:tc>
          <w:tcPr>
            <w:tcW w:w="645" w:type="dxa"/>
            <w:gridSpan w:val="3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0" w:hRule="atLeast"/>
          <w:jc w:val="center"/>
        </w:trPr>
        <w:tc>
          <w:tcPr>
            <w:tcW w:w="2721" w:type="dxa"/>
            <w:gridSpan w:val="4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gridSpan w:val="2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商业企业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科研机构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社会公益组织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法律服务机构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其他</w:t>
            </w:r>
          </w:p>
        </w:tc>
        <w:tc>
          <w:tcPr>
            <w:tcW w:w="645" w:type="dxa"/>
            <w:gridSpan w:val="3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0" w:afterAutospacing="0" w:line="432" w:lineRule="atLeast"/>
              <w:ind w:left="0" w:leftChars="0" w:right="0" w:firstLine="0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0" w:hRule="atLeast"/>
          <w:jc w:val="center"/>
        </w:trPr>
        <w:tc>
          <w:tcPr>
            <w:tcW w:w="2721" w:type="dxa"/>
            <w:gridSpan w:val="4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一、本年新收政府信息公开申请数量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0" w:hRule="atLeast"/>
          <w:jc w:val="center"/>
        </w:trPr>
        <w:tc>
          <w:tcPr>
            <w:tcW w:w="2721" w:type="dxa"/>
            <w:gridSpan w:val="4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二、上年结转政府信息公开申请数量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0" w:hRule="atLeast"/>
          <w:jc w:val="center"/>
        </w:trPr>
        <w:tc>
          <w:tcPr>
            <w:tcW w:w="386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三、本年度办理结果</w:t>
            </w:r>
          </w:p>
        </w:tc>
        <w:tc>
          <w:tcPr>
            <w:tcW w:w="233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（一）予以公开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233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（三）不予公开</w:t>
            </w: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楷体" w:hAnsi="楷体" w:eastAsia="楷体" w:cs="Times New Roman"/>
                <w:color w:val="333333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1.属于国家秘密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2.其他法律行政法规禁止公开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3.危及“三安全一稳定”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4.保护第三方合法权益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5.属于三类内部事务信息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6.属于四类过程性信息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7.属于行政执法案卷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8.属于行政查询事项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（四）无法提供</w:t>
            </w: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1.本机关不掌握相关政府信息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2.没有现成信息需要另行制作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3.补正后申请内容仍不明确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（五）不予处理</w:t>
            </w: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1.信访举报投诉类申请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2.重复申请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3.要求提供公开出版物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4.无正当理由大量反复申请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68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166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5.要求行政机关确认或重新出具已获取信息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233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（六）其他处理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0" w:hRule="atLeast"/>
          <w:jc w:val="center"/>
        </w:trPr>
        <w:tc>
          <w:tcPr>
            <w:tcW w:w="386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233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（七）总计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0" w:hRule="atLeast"/>
          <w:jc w:val="center"/>
        </w:trPr>
        <w:tc>
          <w:tcPr>
            <w:tcW w:w="2721" w:type="dxa"/>
            <w:gridSpan w:val="4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left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四、结转下年度继续办理</w:t>
            </w:r>
          </w:p>
        </w:tc>
        <w:tc>
          <w:tcPr>
            <w:tcW w:w="166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45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45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val="en-US" w:eastAsia="zh-CN"/>
              </w:rPr>
              <w:t>0</w:t>
            </w:r>
          </w:p>
        </w:tc>
      </w:tr>
    </w:tbl>
    <w:p>
      <w:pPr>
        <w:shd w:val="solid" w:color="FFFFFF" w:fill="auto"/>
        <w:kinsoku/>
        <w:autoSpaceDE/>
        <w:autoSpaceDN w:val="0"/>
        <w:spacing w:line="432" w:lineRule="atLeast"/>
        <w:ind w:leftChars="0" w:firstLine="42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/>
          <w:b w:val="0"/>
          <w:i w:val="0"/>
          <w:snapToGrid/>
          <w:color w:val="333333"/>
          <w:sz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4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627"/>
        <w:gridCol w:w="3"/>
        <w:gridCol w:w="521"/>
        <w:gridCol w:w="576"/>
        <w:gridCol w:w="576"/>
        <w:gridCol w:w="576"/>
        <w:gridCol w:w="576"/>
        <w:gridCol w:w="3"/>
        <w:gridCol w:w="573"/>
        <w:gridCol w:w="576"/>
        <w:gridCol w:w="576"/>
        <w:gridCol w:w="577"/>
        <w:gridCol w:w="577"/>
        <w:gridCol w:w="6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930" w:type="dxa"/>
            <w:gridSpan w:val="6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行政复议</w:t>
            </w:r>
          </w:p>
        </w:tc>
        <w:tc>
          <w:tcPr>
            <w:tcW w:w="5717" w:type="dxa"/>
            <w:gridSpan w:val="1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0" w:hRule="atLeast"/>
          <w:jc w:val="center"/>
        </w:trPr>
        <w:tc>
          <w:tcPr>
            <w:tcW w:w="575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结果维持</w:t>
            </w:r>
          </w:p>
        </w:tc>
        <w:tc>
          <w:tcPr>
            <w:tcW w:w="575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结果纠正</w:t>
            </w:r>
          </w:p>
        </w:tc>
        <w:tc>
          <w:tcPr>
            <w:tcW w:w="575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其他结果</w:t>
            </w:r>
          </w:p>
        </w:tc>
        <w:tc>
          <w:tcPr>
            <w:tcW w:w="575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尚未审结</w:t>
            </w:r>
          </w:p>
        </w:tc>
        <w:tc>
          <w:tcPr>
            <w:tcW w:w="627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2831" w:type="dxa"/>
            <w:gridSpan w:val="7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未经复议直接起诉</w:t>
            </w:r>
          </w:p>
        </w:tc>
        <w:tc>
          <w:tcPr>
            <w:tcW w:w="2885" w:type="dxa"/>
            <w:gridSpan w:val="6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" w:type="dxa"/>
          <w:trHeight w:val="0" w:hRule="atLeast"/>
          <w:jc w:val="center"/>
        </w:trPr>
        <w:tc>
          <w:tcPr>
            <w:tcW w:w="575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575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575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575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627" w:type="dxa"/>
            <w:vMerge w:val="continue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2"/>
              </w:rPr>
            </w:pPr>
          </w:p>
        </w:tc>
        <w:tc>
          <w:tcPr>
            <w:tcW w:w="524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结果维持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结果纠正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其他结果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尚未审结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576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结果维持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结果纠正</w:t>
            </w:r>
          </w:p>
        </w:tc>
        <w:tc>
          <w:tcPr>
            <w:tcW w:w="57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其他结果</w:t>
            </w:r>
          </w:p>
        </w:tc>
        <w:tc>
          <w:tcPr>
            <w:tcW w:w="57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eastAsia="zh-CN"/>
              </w:rPr>
              <w:t>尚未审结</w:t>
            </w:r>
          </w:p>
        </w:tc>
        <w:tc>
          <w:tcPr>
            <w:tcW w:w="577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4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2"/>
                <w:shd w:val="clear" w:color="auto" w:fill="FFFFFF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" w:type="dxa"/>
          <w:trHeight w:val="0" w:hRule="atLeast"/>
          <w:jc w:val="center"/>
        </w:trPr>
        <w:tc>
          <w:tcPr>
            <w:tcW w:w="575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5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5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5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627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24" w:type="dxa"/>
            <w:gridSpan w:val="2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6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6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6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6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6" w:type="dxa"/>
            <w:gridSpan w:val="2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6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6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7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  <w:tc>
          <w:tcPr>
            <w:tcW w:w="577" w:type="dxa"/>
            <w:shd w:val="solid" w:color="FFFFFF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hd w:val="solid" w:color="FFFFFF" w:fill="auto"/>
              <w:kinsoku/>
              <w:autoSpaceDE/>
              <w:autoSpaceDN w:val="0"/>
              <w:spacing w:before="0" w:beforeAutospacing="0" w:after="180" w:afterLines="0" w:afterAutospacing="0" w:line="432" w:lineRule="atLeast"/>
              <w:ind w:left="0" w:leftChars="0" w:right="0" w:firstLine="0"/>
              <w:jc w:val="center"/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Calibri"/>
                <w:b w:val="0"/>
                <w:i w:val="0"/>
                <w:snapToGrid/>
                <w:color w:val="333333"/>
                <w:sz w:val="20"/>
                <w:szCs w:val="22"/>
                <w:shd w:val="clear" w:color="auto" w:fill="FFFFFF"/>
                <w:lang w:val="en-US"/>
              </w:rPr>
              <w:t>0</w:t>
            </w:r>
          </w:p>
        </w:tc>
      </w:tr>
    </w:tbl>
    <w:p>
      <w:pPr>
        <w:shd w:val="solid" w:color="FFFFFF" w:fill="auto"/>
        <w:kinsoku/>
        <w:autoSpaceDE/>
        <w:autoSpaceDN w:val="0"/>
        <w:spacing w:line="432" w:lineRule="atLeast"/>
        <w:ind w:leftChars="0" w:firstLine="42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 xml:space="preserve"> 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我局政府信息公开工作虽取得了一定的成效，但按照区政府的要求还有不少差距。主要表现为:一是对政府信息公开的重要性认识存在参差不齐的情况；二是政府信息公开的制度建设还不够完善和全面，还不能完全适应政府信息公开发展的需要;三是政府信息公开工作运行机制要进一步完善，避免出现政府信息的漏报、迟报等情况发生。为此，在今后的工作中我们将从以下几个方面进行改进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一是加强宣传，提高认识。通过宣传和教育，进一步强化对政府信息公开工作重要性的认识，增强政府信息公开的主动性和互动性，提高群众参与的积极性，变“被动”为“主动”。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二是完善制度，强化管理。进一步完善政务公开审批和备案制度、政务公开年度报告制度及政务信息公开考核制度等。不断完善工作机制，强化工作措施，创新工作方法，狠抓工作落实。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三是加强考评,确保质量。把政务公开工作纳入年度目标管理和重点工作考核内容。围绕组织领导、公开内容、公开时限以及公开效果等方面，加强对本单位和所属事业单位政务公开落实情况的指导、检查、管理和考核，及时发现和解决存在的问题，推动政务公开工作常态长效、扎实深入开展。</w:t>
      </w:r>
    </w:p>
    <w:p>
      <w:pPr>
        <w:shd w:val="solid" w:color="FFFFFF" w:fill="auto"/>
        <w:kinsoku/>
        <w:autoSpaceDE/>
        <w:autoSpaceDN w:val="0"/>
        <w:spacing w:line="432" w:lineRule="atLeast"/>
        <w:ind w:leftChars="0" w:firstLine="42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 xml:space="preserve"> 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无其他需要报告的事项。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09900369">
    <w:nsid w:val="5FF52151"/>
    <w:multiLevelType w:val="singleLevel"/>
    <w:tmpl w:val="5FF52151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6099003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84BB0"/>
    <w:rsid w:val="005C79A5"/>
    <w:rsid w:val="050F791F"/>
    <w:rsid w:val="05364CA1"/>
    <w:rsid w:val="070B157D"/>
    <w:rsid w:val="07A759C4"/>
    <w:rsid w:val="09567A48"/>
    <w:rsid w:val="0B9D6DD8"/>
    <w:rsid w:val="0DA95375"/>
    <w:rsid w:val="101221A8"/>
    <w:rsid w:val="11492822"/>
    <w:rsid w:val="1481769A"/>
    <w:rsid w:val="16184BB0"/>
    <w:rsid w:val="188B3E53"/>
    <w:rsid w:val="1AAC4938"/>
    <w:rsid w:val="1E7E294F"/>
    <w:rsid w:val="1FD24BC8"/>
    <w:rsid w:val="1FE95C80"/>
    <w:rsid w:val="20615DDD"/>
    <w:rsid w:val="233A07B3"/>
    <w:rsid w:val="236F5F9A"/>
    <w:rsid w:val="24FF1CD6"/>
    <w:rsid w:val="2BAE5DE1"/>
    <w:rsid w:val="2E26607C"/>
    <w:rsid w:val="2E356675"/>
    <w:rsid w:val="382C0B85"/>
    <w:rsid w:val="3E937718"/>
    <w:rsid w:val="44600305"/>
    <w:rsid w:val="46DE3D51"/>
    <w:rsid w:val="48951991"/>
    <w:rsid w:val="48F43A89"/>
    <w:rsid w:val="48F805FD"/>
    <w:rsid w:val="4A560F97"/>
    <w:rsid w:val="4A7632DD"/>
    <w:rsid w:val="4D362276"/>
    <w:rsid w:val="4E5E1FA8"/>
    <w:rsid w:val="4EA0521E"/>
    <w:rsid w:val="4EF6057B"/>
    <w:rsid w:val="50450F00"/>
    <w:rsid w:val="520E41E9"/>
    <w:rsid w:val="5AC57B77"/>
    <w:rsid w:val="5B747F03"/>
    <w:rsid w:val="61436C92"/>
    <w:rsid w:val="63C91047"/>
    <w:rsid w:val="672A6DDF"/>
    <w:rsid w:val="6A3C41C1"/>
    <w:rsid w:val="737C05F5"/>
    <w:rsid w:val="791E3BAE"/>
    <w:rsid w:val="795E7DF1"/>
    <w:rsid w:val="7E5168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vertOverflow="ellipsis" anchor="ctr" anchorCtr="1"/>
          <a:lstStyle/>
          <a:p>
            <a:pPr algn="ctr" defTabSz="914400">
              <a:defRPr sz="1400" b="0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400" b="0" i="0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rPr>
              <a:t>全年主动公开信息数量分布</a:t>
            </a:r>
            <a:endParaRPr sz="14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全年信息分布量</c:v>
                </c:pt>
              </c:strCache>
            </c:strRef>
          </c:tx>
          <c:spPr>
            <a:effectLst/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4"/>
              <c:layout>
                <c:manualLayout>
                  <c:x val="0.0125611529816211"/>
                  <c:y val="0.0161827701094717"/>
                </c:manualLayout>
              </c:layout>
              <c:numFmt formatCode="General" sourceLinked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anchor="ctr" anchorCtr="1"/>
              <a:lstStyle/>
              <a:p>
                <a:pPr>
                  <a:defRPr sz="900" kern="12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noFill/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越秀区政府门户网站</c:v>
                </c:pt>
                <c:pt idx="1">
                  <c:v>南方+</c:v>
                </c:pt>
                <c:pt idx="2">
                  <c:v>微博</c:v>
                </c:pt>
                <c:pt idx="3">
                  <c:v>市应急局信息网</c:v>
                </c:pt>
                <c:pt idx="4">
                  <c:v>市级以上媒体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c:formatCode="General">
                  <c:v>59</c:v>
                </c:pt>
                <c:pt idx="1" c:formatCode="General">
                  <c:v>830</c:v>
                </c:pt>
                <c:pt idx="2" c:formatCode="General">
                  <c:v>204</c:v>
                </c:pt>
                <c:pt idx="3" c:formatCode="General">
                  <c:v>5</c:v>
                </c:pt>
                <c:pt idx="4" c:formatCode="General">
                  <c:v>54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sz="900" kern="12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 sz="900" kern="1200">
          <a:solidFill>
            <a:schemeClr val="tx1"/>
          </a:solidFill>
          <a:latin typeface="+mn-lt"/>
          <a:ea typeface="+mn-ea"/>
          <a:cs typeface="+mn-cs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2020-01-16T01:34:00Z</dcterms:created>
  <dc:creator>李星星</dc:creator>
  <cp:lastModifiedBy>未定义</cp:lastModifiedBy>
  <cp:lastPrinted>2021-01-12T07:38:21Z</cp:lastPrinted>
  <dcterms:modified xsi:type="dcterms:W3CDTF">2021-01-12T07:50:32Z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