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outlineLvl w:val="0"/>
        <w:rPr>
          <w:rFonts w:hint="eastAsia" w:ascii="Times New Roman" w:hAnsi="Times New Roman" w:eastAsia="宋体" w:cs="Times New Roman"/>
          <w:b/>
          <w:bCs/>
          <w:color w:val="000000"/>
          <w:sz w:val="28"/>
          <w:szCs w:val="28"/>
          <w:lang w:val="en-US" w:eastAsia="zh-CN"/>
        </w:rPr>
      </w:pPr>
      <w:r>
        <w:rPr>
          <w:rFonts w:ascii="Times New Roman" w:hAnsi="Times New Roman" w:cs="Times New Roman"/>
          <w:b/>
          <w:bCs/>
          <w:color w:val="000000"/>
          <w:sz w:val="28"/>
          <w:szCs w:val="28"/>
        </w:rPr>
        <w:t>采购人需求</w:t>
      </w:r>
      <w:r>
        <w:rPr>
          <w:rFonts w:hint="eastAsia" w:ascii="Times New Roman" w:hAnsi="Times New Roman" w:cs="Times New Roman"/>
          <w:b/>
          <w:bCs/>
          <w:color w:val="000000"/>
          <w:sz w:val="28"/>
          <w:szCs w:val="28"/>
          <w:lang w:val="en-US" w:eastAsia="zh-CN"/>
        </w:rPr>
        <w:t>书</w:t>
      </w:r>
    </w:p>
    <w:p>
      <w:pPr>
        <w:adjustRightInd w:val="0"/>
        <w:snapToGrid w:val="0"/>
        <w:spacing w:line="360" w:lineRule="auto"/>
        <w:ind w:left="105"/>
        <w:jc w:val="left"/>
        <w:outlineLvl w:val="1"/>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一、项目概况</w:t>
      </w:r>
    </w:p>
    <w:p>
      <w:pPr>
        <w:snapToGrid w:val="0"/>
        <w:spacing w:line="360" w:lineRule="auto"/>
        <w:ind w:left="210" w:leftChars="50" w:hanging="105" w:hangingChars="50"/>
        <w:outlineLvl w:val="1"/>
        <w:rPr>
          <w:rFonts w:hint="default" w:ascii="Times New Roman" w:hAnsi="Times New Roman" w:eastAsia="宋体" w:cs="Times New Roman"/>
          <w:color w:val="auto"/>
          <w:highlight w:val="none"/>
          <w:lang w:val="en-US" w:eastAsia="zh"/>
        </w:rPr>
      </w:pPr>
      <w:r>
        <w:rPr>
          <w:rFonts w:ascii="Times New Roman" w:hAnsi="Times New Roman" w:cs="Times New Roman"/>
          <w:color w:val="000000"/>
        </w:rPr>
        <w:t>（一）</w:t>
      </w:r>
      <w:r>
        <w:rPr>
          <w:rFonts w:ascii="Times New Roman" w:hAnsi="Times New Roman" w:cs="Times New Roman"/>
          <w:color w:val="000000"/>
          <w:highlight w:val="none"/>
        </w:rPr>
        <w:t>为</w:t>
      </w:r>
      <w:r>
        <w:rPr>
          <w:rFonts w:ascii="Times New Roman" w:hAnsi="Times New Roman" w:cs="Times New Roman"/>
          <w:color w:val="000000"/>
        </w:rPr>
        <w:t>掌握越秀区有关污染源排放状况</w:t>
      </w:r>
      <w:r>
        <w:rPr>
          <w:rFonts w:ascii="Times New Roman" w:hAnsi="Times New Roman" w:cs="Times New Roman"/>
          <w:color w:val="auto"/>
        </w:rPr>
        <w:t>，严格贯彻落实环境监管职责，</w:t>
      </w:r>
      <w:r>
        <w:rPr>
          <w:rFonts w:hint="eastAsia" w:ascii="宋体" w:hAnsi="宋体" w:eastAsia="宋体" w:cs="宋体"/>
          <w:bCs/>
          <w:color w:val="auto"/>
          <w:sz w:val="21"/>
          <w:szCs w:val="21"/>
          <w:highlight w:val="none"/>
          <w:lang w:val="en-US" w:eastAsia="zh-CN"/>
        </w:rPr>
        <w:t>广州市生态环境局越秀分局</w:t>
      </w:r>
      <w:r>
        <w:rPr>
          <w:rFonts w:hint="eastAsia" w:ascii="宋体" w:hAnsi="宋体" w:cs="宋体"/>
          <w:bCs/>
          <w:color w:val="auto"/>
          <w:sz w:val="21"/>
          <w:szCs w:val="21"/>
          <w:highlight w:val="none"/>
          <w:lang w:val="en-US" w:eastAsia="zh-CN"/>
        </w:rPr>
        <w:t>向社会</w:t>
      </w:r>
      <w:r>
        <w:rPr>
          <w:rFonts w:hint="eastAsia" w:ascii="宋体" w:hAnsi="宋体" w:eastAsia="宋体" w:cs="宋体"/>
          <w:bCs/>
          <w:color w:val="auto"/>
          <w:sz w:val="21"/>
          <w:szCs w:val="21"/>
          <w:highlight w:val="none"/>
          <w:lang w:val="en-US" w:eastAsia="zh-CN"/>
        </w:rPr>
        <w:t>购买污染源单位以及有关环境应急等辅助监测服务</w:t>
      </w:r>
      <w:r>
        <w:rPr>
          <w:rFonts w:ascii="Times New Roman" w:hAnsi="Times New Roman" w:cs="Times New Roman"/>
          <w:color w:val="auto"/>
          <w:highlight w:val="none"/>
        </w:rPr>
        <w:t>，对有关污染源单位</w:t>
      </w:r>
      <w:r>
        <w:rPr>
          <w:rFonts w:hint="eastAsia" w:ascii="Times New Roman" w:hAnsi="Times New Roman" w:cs="Times New Roman"/>
          <w:color w:val="auto"/>
          <w:highlight w:val="none"/>
          <w:lang w:val="en-US" w:eastAsia="zh-CN"/>
        </w:rPr>
        <w:t>等</w:t>
      </w:r>
      <w:r>
        <w:rPr>
          <w:rFonts w:ascii="Times New Roman" w:hAnsi="Times New Roman" w:cs="Times New Roman"/>
          <w:color w:val="auto"/>
          <w:highlight w:val="none"/>
        </w:rPr>
        <w:t>排放的废气、</w:t>
      </w:r>
      <w:r>
        <w:rPr>
          <w:rFonts w:hint="eastAsia" w:ascii="Times New Roman" w:hAnsi="Times New Roman" w:cs="Times New Roman"/>
          <w:color w:val="auto"/>
          <w:highlight w:val="none"/>
          <w:lang w:val="en-US" w:eastAsia="zh-CN"/>
        </w:rPr>
        <w:t>污</w:t>
      </w:r>
      <w:r>
        <w:rPr>
          <w:rFonts w:ascii="Times New Roman" w:hAnsi="Times New Roman" w:cs="Times New Roman"/>
          <w:color w:val="auto"/>
          <w:highlight w:val="none"/>
        </w:rPr>
        <w:t>水</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辐射、</w:t>
      </w:r>
      <w:r>
        <w:rPr>
          <w:rFonts w:hint="eastAsia" w:ascii="Times New Roman" w:hAnsi="Times New Roman" w:cs="Times New Roman"/>
          <w:color w:val="auto"/>
          <w:highlight w:val="none"/>
          <w:lang w:val="en-US" w:eastAsia="zh-CN"/>
        </w:rPr>
        <w:t>噪声</w:t>
      </w:r>
      <w:r>
        <w:rPr>
          <w:rFonts w:ascii="Times New Roman" w:hAnsi="Times New Roman" w:cs="Times New Roman"/>
          <w:color w:val="auto"/>
          <w:highlight w:val="none"/>
        </w:rPr>
        <w:t>等项目</w:t>
      </w:r>
      <w:r>
        <w:rPr>
          <w:rFonts w:hint="eastAsia" w:ascii="Times New Roman" w:hAnsi="Times New Roman" w:cs="Times New Roman"/>
          <w:color w:val="auto"/>
          <w:highlight w:val="none"/>
          <w:lang w:val="en-US" w:eastAsia="zh-CN"/>
        </w:rPr>
        <w:t>提供辅助监测服务</w:t>
      </w:r>
      <w:r>
        <w:rPr>
          <w:rFonts w:ascii="Times New Roman" w:hAnsi="Times New Roman" w:cs="Times New Roman"/>
          <w:color w:val="auto"/>
          <w:highlight w:val="none"/>
        </w:rPr>
        <w:t>。</w:t>
      </w:r>
    </w:p>
    <w:p>
      <w:pPr>
        <w:snapToGrid w:val="0"/>
        <w:spacing w:line="360" w:lineRule="auto"/>
        <w:ind w:left="105"/>
        <w:jc w:val="left"/>
        <w:outlineLvl w:val="1"/>
        <w:rPr>
          <w:rFonts w:ascii="Times New Roman" w:hAnsi="Times New Roman" w:cs="Times New Roman"/>
          <w:color w:val="000000"/>
        </w:rPr>
      </w:pPr>
      <w:r>
        <w:rPr>
          <w:rFonts w:ascii="Times New Roman" w:hAnsi="Times New Roman" w:cs="Times New Roman"/>
          <w:color w:val="000000"/>
        </w:rPr>
        <w:t>（二）采购内容</w:t>
      </w:r>
    </w:p>
    <w:tbl>
      <w:tblPr>
        <w:tblStyle w:val="7"/>
        <w:tblW w:w="81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1"/>
        <w:gridCol w:w="1887"/>
        <w:gridCol w:w="1617"/>
        <w:gridCol w:w="19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2691" w:type="dxa"/>
            <w:vAlign w:val="center"/>
          </w:tcPr>
          <w:p>
            <w:pPr>
              <w:jc w:val="center"/>
              <w:rPr>
                <w:rFonts w:ascii="Times New Roman" w:hAnsi="Times New Roman" w:cs="Times New Roman"/>
                <w:b/>
                <w:bCs/>
                <w:color w:val="000000"/>
              </w:rPr>
            </w:pPr>
            <w:r>
              <w:rPr>
                <w:rFonts w:ascii="Times New Roman" w:hAnsi="Times New Roman" w:cs="Times New Roman"/>
                <w:b/>
                <w:bCs/>
                <w:color w:val="000000"/>
              </w:rPr>
              <w:t>监测内容</w:t>
            </w:r>
          </w:p>
        </w:tc>
        <w:tc>
          <w:tcPr>
            <w:tcW w:w="1887" w:type="dxa"/>
            <w:vAlign w:val="center"/>
          </w:tcPr>
          <w:p>
            <w:pPr>
              <w:jc w:val="center"/>
              <w:rPr>
                <w:rFonts w:ascii="Times New Roman" w:hAnsi="Times New Roman" w:cs="Times New Roman"/>
                <w:b/>
                <w:bCs/>
                <w:color w:val="000000"/>
              </w:rPr>
            </w:pPr>
            <w:r>
              <w:rPr>
                <w:rFonts w:ascii="Times New Roman" w:hAnsi="Times New Roman" w:cs="Times New Roman"/>
                <w:b/>
                <w:bCs/>
                <w:color w:val="000000"/>
              </w:rPr>
              <w:t>采购总预算</w:t>
            </w:r>
          </w:p>
          <w:p>
            <w:pPr>
              <w:jc w:val="center"/>
              <w:rPr>
                <w:rFonts w:ascii="Times New Roman" w:hAnsi="Times New Roman" w:cs="Times New Roman"/>
                <w:b/>
                <w:bCs/>
                <w:color w:val="000000"/>
              </w:rPr>
            </w:pPr>
            <w:r>
              <w:rPr>
                <w:rFonts w:ascii="Times New Roman" w:hAnsi="Times New Roman" w:cs="Times New Roman"/>
                <w:b/>
                <w:bCs/>
                <w:color w:val="000000"/>
              </w:rPr>
              <w:t>（人民币 万元）</w:t>
            </w:r>
          </w:p>
        </w:tc>
        <w:tc>
          <w:tcPr>
            <w:tcW w:w="1617" w:type="dxa"/>
            <w:vAlign w:val="center"/>
          </w:tcPr>
          <w:p>
            <w:pPr>
              <w:jc w:val="center"/>
              <w:rPr>
                <w:rFonts w:ascii="Times New Roman" w:hAnsi="Times New Roman" w:cs="Times New Roman"/>
                <w:b/>
                <w:bCs/>
                <w:color w:val="000000"/>
              </w:rPr>
            </w:pPr>
            <w:r>
              <w:rPr>
                <w:rFonts w:ascii="Times New Roman" w:hAnsi="Times New Roman" w:cs="Times New Roman"/>
                <w:b/>
                <w:bCs/>
                <w:color w:val="000000"/>
              </w:rPr>
              <w:t>成交供应商数量（家数）</w:t>
            </w:r>
          </w:p>
        </w:tc>
        <w:tc>
          <w:tcPr>
            <w:tcW w:w="1999" w:type="dxa"/>
            <w:vAlign w:val="center"/>
          </w:tcPr>
          <w:p>
            <w:pPr>
              <w:jc w:val="center"/>
              <w:rPr>
                <w:rFonts w:ascii="Times New Roman" w:hAnsi="Times New Roman" w:cs="Times New Roman"/>
                <w:b/>
                <w:bCs/>
                <w:color w:val="000000"/>
              </w:rPr>
            </w:pPr>
            <w:r>
              <w:rPr>
                <w:rFonts w:ascii="Times New Roman" w:hAnsi="Times New Roman" w:cs="Times New Roman"/>
                <w:b/>
                <w:bCs/>
                <w:color w:val="000000"/>
              </w:rPr>
              <w:t>服务期限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2" w:hRule="atLeast"/>
          <w:jc w:val="center"/>
        </w:trPr>
        <w:tc>
          <w:tcPr>
            <w:tcW w:w="2691" w:type="dxa"/>
            <w:vAlign w:val="center"/>
          </w:tcPr>
          <w:p>
            <w:pPr>
              <w:jc w:val="left"/>
              <w:rPr>
                <w:rFonts w:ascii="Times New Roman" w:hAnsi="Times New Roman" w:cs="Times New Roman"/>
                <w:color w:val="000000"/>
              </w:rPr>
            </w:pPr>
            <w:r>
              <w:rPr>
                <w:rFonts w:ascii="Times New Roman" w:hAnsi="Times New Roman" w:cs="Times New Roman"/>
                <w:color w:val="000000"/>
              </w:rPr>
              <w:t>完成采购人</w:t>
            </w:r>
            <w:r>
              <w:rPr>
                <w:rFonts w:hint="eastAsia" w:ascii="Times New Roman" w:hAnsi="Times New Roman" w:cs="Times New Roman"/>
                <w:color w:val="000000"/>
                <w:lang w:val="en-US" w:eastAsia="zh-CN"/>
              </w:rPr>
              <w:t>下达</w:t>
            </w:r>
            <w:r>
              <w:rPr>
                <w:rFonts w:ascii="Times New Roman" w:hAnsi="Times New Roman" w:cs="Times New Roman"/>
                <w:color w:val="000000"/>
              </w:rPr>
              <w:t>的</w:t>
            </w:r>
            <w:r>
              <w:rPr>
                <w:rFonts w:hint="eastAsia" w:asciiTheme="minorEastAsia" w:hAnsiTheme="minorEastAsia" w:eastAsiaTheme="minorEastAsia" w:cstheme="minorEastAsia"/>
                <w:color w:val="auto"/>
                <w:sz w:val="21"/>
                <w:szCs w:val="21"/>
                <w:highlight w:val="none"/>
              </w:rPr>
              <w:t>监测工作任务清单</w:t>
            </w:r>
            <w:r>
              <w:rPr>
                <w:rFonts w:ascii="Times New Roman" w:hAnsi="Times New Roman" w:cs="Times New Roman"/>
                <w:color w:val="000000"/>
              </w:rPr>
              <w:t>以及有关</w:t>
            </w:r>
            <w:r>
              <w:rPr>
                <w:rFonts w:hint="eastAsia" w:ascii="Times New Roman" w:hAnsi="Times New Roman" w:cs="Times New Roman"/>
                <w:color w:val="000000"/>
                <w:lang w:val="en-US" w:eastAsia="zh-CN"/>
              </w:rPr>
              <w:t>环境</w:t>
            </w:r>
            <w:r>
              <w:rPr>
                <w:rFonts w:ascii="Times New Roman" w:hAnsi="Times New Roman" w:cs="Times New Roman"/>
                <w:color w:val="000000"/>
              </w:rPr>
              <w:t>应急监测任务。</w:t>
            </w:r>
          </w:p>
        </w:tc>
        <w:tc>
          <w:tcPr>
            <w:tcW w:w="1887" w:type="dxa"/>
            <w:vAlign w:val="center"/>
          </w:tcPr>
          <w:p>
            <w:pPr>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60</w:t>
            </w:r>
          </w:p>
        </w:tc>
        <w:tc>
          <w:tcPr>
            <w:tcW w:w="1617" w:type="dxa"/>
            <w:vAlign w:val="center"/>
          </w:tcPr>
          <w:p>
            <w:pPr>
              <w:jc w:val="center"/>
              <w:rPr>
                <w:rFonts w:ascii="Times New Roman" w:hAnsi="Times New Roman" w:cs="Times New Roman"/>
                <w:color w:val="auto"/>
              </w:rPr>
            </w:pPr>
            <w:r>
              <w:rPr>
                <w:rFonts w:ascii="Times New Roman" w:hAnsi="Times New Roman" w:cs="Times New Roman"/>
                <w:color w:val="auto"/>
              </w:rPr>
              <w:t>3</w:t>
            </w:r>
          </w:p>
        </w:tc>
        <w:tc>
          <w:tcPr>
            <w:tcW w:w="1999" w:type="dxa"/>
            <w:vAlign w:val="center"/>
          </w:tcPr>
          <w:p>
            <w:pPr>
              <w:jc w:val="left"/>
              <w:rPr>
                <w:rFonts w:ascii="Times New Roman" w:hAnsi="Times New Roman" w:cs="Times New Roman"/>
                <w:color w:val="auto"/>
              </w:rPr>
            </w:pPr>
            <w:r>
              <w:rPr>
                <w:rFonts w:ascii="Times New Roman" w:hAnsi="Times New Roman" w:cs="Times New Roman"/>
                <w:color w:val="auto"/>
              </w:rPr>
              <w:t>合同生效之日起至202</w:t>
            </w:r>
            <w:r>
              <w:rPr>
                <w:rFonts w:hint="eastAsia" w:ascii="Times New Roman" w:hAnsi="Times New Roman" w:cs="Times New Roman"/>
                <w:color w:val="auto"/>
                <w:lang w:val="en-US" w:eastAsia="zh-CN"/>
              </w:rPr>
              <w:t>4</w:t>
            </w:r>
            <w:r>
              <w:rPr>
                <w:rFonts w:ascii="Times New Roman" w:hAnsi="Times New Roman" w:cs="Times New Roman"/>
                <w:color w:val="auto"/>
              </w:rPr>
              <w:t>年</w:t>
            </w:r>
            <w:r>
              <w:rPr>
                <w:rFonts w:hint="eastAsia" w:ascii="Times New Roman" w:hAnsi="Times New Roman" w:cs="Times New Roman"/>
                <w:color w:val="auto"/>
                <w:lang w:val="en-US" w:eastAsia="zh-CN"/>
              </w:rPr>
              <w:t>6</w:t>
            </w:r>
            <w:r>
              <w:rPr>
                <w:rFonts w:ascii="Times New Roman" w:hAnsi="Times New Roman" w:cs="Times New Roman"/>
                <w:color w:val="auto"/>
              </w:rPr>
              <w:t>月</w:t>
            </w:r>
            <w:r>
              <w:rPr>
                <w:rFonts w:hint="eastAsia" w:ascii="Times New Roman" w:hAnsi="Times New Roman" w:cs="Times New Roman"/>
                <w:color w:val="auto"/>
                <w:lang w:val="en-US" w:eastAsia="zh-CN"/>
              </w:rPr>
              <w:t>30</w:t>
            </w:r>
            <w:r>
              <w:rPr>
                <w:rFonts w:ascii="Times New Roman" w:hAnsi="Times New Roman" w:cs="Times New Roman"/>
                <w:color w:val="auto"/>
              </w:rPr>
              <w:t>日。</w:t>
            </w:r>
          </w:p>
        </w:tc>
      </w:tr>
    </w:tbl>
    <w:p>
      <w:pPr>
        <w:snapToGrid w:val="0"/>
        <w:spacing w:before="156" w:beforeLines="50" w:line="360" w:lineRule="auto"/>
        <w:ind w:firstLine="420" w:firstLineChars="200"/>
        <w:jc w:val="left"/>
        <w:outlineLvl w:val="1"/>
        <w:rPr>
          <w:rFonts w:hint="default" w:ascii="Times New Roman" w:hAnsi="Times New Roman" w:cs="Times New Roman"/>
          <w:color w:val="000000"/>
          <w:highlight w:val="none"/>
          <w:lang w:val="en-US" w:eastAsia="zh-CN"/>
        </w:rPr>
      </w:pPr>
      <w:r>
        <w:rPr>
          <w:rFonts w:ascii="Times New Roman" w:hAnsi="Times New Roman" w:cs="Times New Roman"/>
          <w:color w:val="000000"/>
        </w:rPr>
        <w:t>注：1、</w:t>
      </w:r>
      <w:r>
        <w:rPr>
          <w:rFonts w:hint="eastAsia" w:ascii="Times New Roman" w:hAnsi="Times New Roman" w:cs="Times New Roman"/>
          <w:color w:val="000000"/>
          <w:highlight w:val="none"/>
          <w:lang w:eastAsia="zh-CN"/>
        </w:rPr>
        <w:t>我</w:t>
      </w:r>
      <w:r>
        <w:rPr>
          <w:rFonts w:hint="eastAsia" w:ascii="Times New Roman" w:hAnsi="Times New Roman" w:cs="Times New Roman"/>
          <w:color w:val="000000"/>
          <w:highlight w:val="none"/>
          <w:lang w:val="en-US" w:eastAsia="zh-CN"/>
        </w:rPr>
        <w:t>分局将综合考量工作需求以及供应商符合服务内容的程度，</w:t>
      </w:r>
      <w:r>
        <w:rPr>
          <w:rFonts w:hint="eastAsia" w:ascii="Times New Roman" w:hAnsi="Times New Roman" w:cs="Times New Roman"/>
          <w:color w:val="000000"/>
          <w:highlight w:val="none"/>
          <w:lang w:eastAsia="zh-CN"/>
        </w:rPr>
        <w:t>确定三家</w:t>
      </w:r>
      <w:r>
        <w:rPr>
          <w:rFonts w:hint="eastAsia" w:ascii="Times New Roman" w:hAnsi="Times New Roman" w:cs="Times New Roman"/>
          <w:color w:val="000000"/>
          <w:highlight w:val="none"/>
          <w:lang w:val="en-US" w:eastAsia="zh-CN"/>
        </w:rPr>
        <w:t>成交</w:t>
      </w:r>
      <w:r>
        <w:rPr>
          <w:rFonts w:hint="eastAsia" w:ascii="Times New Roman" w:hAnsi="Times New Roman" w:cs="Times New Roman"/>
          <w:color w:val="000000"/>
          <w:highlight w:val="none"/>
          <w:lang w:eastAsia="zh-CN"/>
        </w:rPr>
        <w:t>供应商</w:t>
      </w:r>
      <w:r>
        <w:rPr>
          <w:rFonts w:hint="eastAsia" w:ascii="Times New Roman" w:hAnsi="Times New Roman" w:cs="Times New Roman"/>
          <w:color w:val="000000"/>
          <w:highlight w:val="none"/>
          <w:lang w:val="en-US" w:eastAsia="zh-CN"/>
        </w:rPr>
        <w:t>服务该项目。</w:t>
      </w:r>
    </w:p>
    <w:p>
      <w:pPr>
        <w:snapToGrid w:val="0"/>
        <w:spacing w:before="156" w:beforeLines="50" w:line="360" w:lineRule="auto"/>
        <w:ind w:firstLine="420" w:firstLineChars="200"/>
        <w:jc w:val="left"/>
        <w:outlineLvl w:val="1"/>
        <w:rPr>
          <w:rFonts w:hint="eastAsia" w:ascii="Times New Roman" w:hAnsi="Times New Roman" w:eastAsia="宋体" w:cs="Times New Roman"/>
          <w:color w:val="000000"/>
          <w:highlight w:val="none"/>
          <w:lang w:eastAsia="zh-CN"/>
        </w:rPr>
      </w:pPr>
      <w:r>
        <w:rPr>
          <w:rFonts w:hint="eastAsia" w:ascii="Times New Roman" w:hAnsi="Times New Roman" w:cs="Times New Roman"/>
          <w:color w:val="000000"/>
          <w:highlight w:val="none"/>
          <w:lang w:val="en-US" w:eastAsia="zh-CN"/>
        </w:rPr>
        <w:t>2、</w:t>
      </w:r>
      <w:r>
        <w:rPr>
          <w:rFonts w:ascii="Times New Roman" w:hAnsi="Times New Roman" w:cs="Times New Roman"/>
          <w:color w:val="000000"/>
        </w:rPr>
        <w:t>成交合同签订后，</w:t>
      </w:r>
      <w:r>
        <w:rPr>
          <w:rFonts w:hint="eastAsia" w:asciiTheme="minorEastAsia" w:hAnsiTheme="minorEastAsia" w:eastAsiaTheme="minorEastAsia" w:cstheme="minorEastAsia"/>
          <w:color w:val="auto"/>
          <w:sz w:val="21"/>
          <w:szCs w:val="21"/>
          <w:highlight w:val="none"/>
          <w:lang w:val="en-US" w:eastAsia="zh-CN"/>
        </w:rPr>
        <w:t>通过抽签方式，再将三家供应商分别对应服务我分局的三个执法科，由各执法科</w:t>
      </w:r>
      <w:r>
        <w:rPr>
          <w:rFonts w:hint="eastAsia" w:asciiTheme="minorEastAsia" w:hAnsiTheme="minorEastAsia" w:eastAsiaTheme="minorEastAsia" w:cstheme="minorEastAsia"/>
          <w:color w:val="auto"/>
          <w:sz w:val="21"/>
          <w:szCs w:val="21"/>
          <w:highlight w:val="none"/>
        </w:rPr>
        <w:t>编制监测工作任务清单(清单含</w:t>
      </w:r>
      <w:r>
        <w:rPr>
          <w:rFonts w:hint="eastAsia" w:asciiTheme="minorEastAsia" w:hAnsiTheme="minorEastAsia" w:eastAsiaTheme="minorEastAsia" w:cstheme="minorEastAsia"/>
          <w:color w:val="auto"/>
          <w:sz w:val="21"/>
          <w:szCs w:val="21"/>
          <w:highlight w:val="none"/>
          <w:lang w:eastAsia="zh-CN"/>
        </w:rPr>
        <w:t>受测单位名称、</w:t>
      </w:r>
      <w:r>
        <w:rPr>
          <w:rFonts w:hint="eastAsia" w:asciiTheme="minorEastAsia" w:hAnsiTheme="minorEastAsia" w:eastAsiaTheme="minorEastAsia" w:cstheme="minorEastAsia"/>
          <w:color w:val="auto"/>
          <w:sz w:val="21"/>
          <w:szCs w:val="21"/>
          <w:highlight w:val="none"/>
        </w:rPr>
        <w:t>监测项目、完成时间节点等内容)</w:t>
      </w:r>
      <w:r>
        <w:rPr>
          <w:rFonts w:hint="eastAsia" w:asciiTheme="minorEastAsia" w:hAnsiTheme="minorEastAsia" w:eastAsiaTheme="minorEastAsia" w:cstheme="minorEastAsia"/>
          <w:color w:val="auto"/>
          <w:sz w:val="21"/>
          <w:szCs w:val="21"/>
          <w:highlight w:val="none"/>
          <w:lang w:eastAsia="zh-CN"/>
        </w:rPr>
        <w:t>，</w:t>
      </w:r>
      <w:r>
        <w:rPr>
          <w:rFonts w:hint="eastAsia" w:ascii="Times New Roman" w:hAnsi="Times New Roman" w:cs="Times New Roman"/>
          <w:color w:val="000000"/>
          <w:highlight w:val="none"/>
        </w:rPr>
        <w:t>或根据</w:t>
      </w:r>
      <w:r>
        <w:rPr>
          <w:rFonts w:hint="eastAsia" w:ascii="Times New Roman" w:hAnsi="Times New Roman" w:cs="Times New Roman"/>
          <w:color w:val="000000"/>
          <w:highlight w:val="none"/>
          <w:lang w:val="en-US" w:eastAsia="zh-CN"/>
        </w:rPr>
        <w:t>工作实际情况</w:t>
      </w:r>
      <w:r>
        <w:rPr>
          <w:rFonts w:hint="eastAsia" w:ascii="Times New Roman" w:hAnsi="Times New Roman" w:cs="Times New Roman"/>
          <w:color w:val="000000"/>
          <w:highlight w:val="none"/>
        </w:rPr>
        <w:t>制定</w:t>
      </w:r>
      <w:r>
        <w:rPr>
          <w:rFonts w:ascii="Times New Roman" w:hAnsi="Times New Roman" w:cs="Times New Roman"/>
          <w:color w:val="000000"/>
          <w:highlight w:val="none"/>
        </w:rPr>
        <w:t>应急监测任务</w:t>
      </w:r>
      <w:r>
        <w:rPr>
          <w:rFonts w:hint="eastAsia" w:ascii="Times New Roman" w:hAnsi="Times New Roman" w:cs="Times New Roman"/>
          <w:color w:val="000000"/>
          <w:highlight w:val="none"/>
          <w:lang w:eastAsia="zh-CN"/>
        </w:rPr>
        <w:t>，并下达给相对应的成交供应商按要求完成监测任务。</w:t>
      </w:r>
    </w:p>
    <w:p>
      <w:pPr>
        <w:snapToGrid w:val="0"/>
        <w:spacing w:before="156" w:beforeLines="50" w:line="360" w:lineRule="auto"/>
        <w:ind w:firstLine="420" w:firstLineChars="200"/>
        <w:jc w:val="left"/>
        <w:outlineLvl w:val="1"/>
        <w:rPr>
          <w:rFonts w:ascii="Times New Roman" w:hAnsi="Times New Roman" w:cs="Times New Roman"/>
          <w:color w:val="000000"/>
        </w:rPr>
      </w:pPr>
      <w:r>
        <w:rPr>
          <w:rFonts w:hint="eastAsia" w:ascii="Times New Roman" w:hAnsi="Times New Roman" w:cs="Times New Roman"/>
          <w:color w:val="000000"/>
          <w:highlight w:val="none"/>
          <w:lang w:val="en-US" w:eastAsia="zh-CN"/>
        </w:rPr>
        <w:t>3</w:t>
      </w:r>
      <w:r>
        <w:rPr>
          <w:rFonts w:hint="eastAsia" w:ascii="Times New Roman" w:hAnsi="Times New Roman" w:cs="Times New Roman"/>
          <w:color w:val="000000"/>
          <w:highlight w:val="none"/>
        </w:rPr>
        <w:t>、</w:t>
      </w:r>
      <w:r>
        <w:rPr>
          <w:rFonts w:ascii="Times New Roman" w:hAnsi="Times New Roman" w:cs="Times New Roman"/>
          <w:color w:val="000000"/>
          <w:highlight w:val="none"/>
        </w:rPr>
        <w:t>若在服务期间，因成交供应商自身原因不能继续提供监测服务的，其原来承担的剩余工作量将纳入下批次监测工作任务清单，由其他成交供应商通过抽签方式</w:t>
      </w:r>
      <w:r>
        <w:rPr>
          <w:rFonts w:ascii="Times New Roman" w:hAnsi="Times New Roman" w:cs="Times New Roman"/>
          <w:color w:val="000000"/>
        </w:rPr>
        <w:t>确定下批次监测工作任务清单的</w:t>
      </w:r>
      <w:r>
        <w:rPr>
          <w:rFonts w:hint="eastAsia" w:ascii="Times New Roman" w:hAnsi="Times New Roman" w:cs="Times New Roman"/>
          <w:color w:val="000000"/>
          <w:lang w:eastAsia="zh-CN"/>
        </w:rPr>
        <w:t>供应商</w:t>
      </w:r>
      <w:r>
        <w:rPr>
          <w:rFonts w:ascii="Times New Roman" w:hAnsi="Times New Roman" w:cs="Times New Roman"/>
          <w:color w:val="000000"/>
        </w:rPr>
        <w:t>。</w:t>
      </w:r>
    </w:p>
    <w:p>
      <w:pPr>
        <w:snapToGrid w:val="0"/>
        <w:spacing w:before="156" w:beforeLines="50" w:line="360" w:lineRule="auto"/>
        <w:ind w:firstLine="420" w:firstLineChars="200"/>
        <w:jc w:val="left"/>
        <w:outlineLvl w:val="1"/>
        <w:rPr>
          <w:rFonts w:ascii="Times New Roman" w:hAnsi="Times New Roman" w:cs="Times New Roman"/>
          <w:color w:val="000000"/>
          <w:highlight w:val="yellow"/>
        </w:rPr>
      </w:pPr>
      <w:r>
        <w:rPr>
          <w:rFonts w:hint="eastAsia" w:ascii="Times New Roman" w:hAnsi="Times New Roman" w:cs="Times New Roman"/>
          <w:color w:val="000000"/>
          <w:lang w:val="en-US" w:eastAsia="zh-CN"/>
        </w:rPr>
        <w:t>4</w:t>
      </w:r>
      <w:r>
        <w:rPr>
          <w:rFonts w:ascii="Times New Roman" w:hAnsi="Times New Roman" w:cs="Times New Roman"/>
          <w:color w:val="000000"/>
        </w:rPr>
        <w:t>、成交供应商必须独立完成监测任务，不得转包或分包。成交供应商应严格按照每批次监测工作任务清单规定的</w:t>
      </w:r>
      <w:r>
        <w:rPr>
          <w:rFonts w:hint="eastAsia" w:ascii="Times New Roman" w:hAnsi="Times New Roman" w:cs="Times New Roman"/>
          <w:color w:val="000000"/>
          <w:lang w:eastAsia="zh-CN"/>
        </w:rPr>
        <w:t>有关</w:t>
      </w:r>
      <w:r>
        <w:rPr>
          <w:rFonts w:ascii="Times New Roman" w:hAnsi="Times New Roman" w:cs="Times New Roman"/>
          <w:color w:val="000000"/>
        </w:rPr>
        <w:t>要求完成每批次的工作任务。</w:t>
      </w:r>
    </w:p>
    <w:p>
      <w:pPr>
        <w:snapToGrid w:val="0"/>
        <w:spacing w:before="156" w:beforeLines="50" w:line="360" w:lineRule="auto"/>
        <w:ind w:left="105" w:hanging="105" w:hangingChars="50"/>
        <w:outlineLvl w:val="1"/>
        <w:rPr>
          <w:rFonts w:ascii="Times New Roman" w:hAnsi="Times New Roman" w:cs="Times New Roman"/>
          <w:color w:val="000000"/>
        </w:rPr>
      </w:pPr>
      <w:r>
        <w:rPr>
          <w:rFonts w:ascii="Times New Roman" w:hAnsi="Times New Roman" w:cs="Times New Roman"/>
          <w:color w:val="000000"/>
        </w:rPr>
        <w:t>（三）采购人提供任务清单中的</w:t>
      </w:r>
      <w:r>
        <w:rPr>
          <w:rFonts w:hint="eastAsia" w:ascii="Times New Roman" w:hAnsi="Times New Roman" w:cs="Times New Roman"/>
          <w:color w:val="000000"/>
          <w:lang w:val="en-US" w:eastAsia="zh-CN"/>
        </w:rPr>
        <w:t>受测</w:t>
      </w:r>
      <w:r>
        <w:rPr>
          <w:rFonts w:ascii="Times New Roman" w:hAnsi="Times New Roman" w:cs="Times New Roman"/>
          <w:color w:val="000000"/>
        </w:rPr>
        <w:t>单位，原则上只监测1间·次，在实际监测过程中，如因受监测单位关停等原因不能正常监测的，则取消对该单位的监测。按照成交供应商实际提交的有效的监测报告的实际工作量和成交单价据实结算。</w:t>
      </w:r>
    </w:p>
    <w:p>
      <w:pPr>
        <w:snapToGrid w:val="0"/>
        <w:spacing w:before="156" w:beforeLines="50" w:line="360" w:lineRule="auto"/>
        <w:ind w:firstLine="420" w:firstLineChars="200"/>
        <w:outlineLvl w:val="1"/>
        <w:rPr>
          <w:rFonts w:ascii="Times New Roman" w:hAnsi="Times New Roman" w:cs="Times New Roman"/>
          <w:color w:val="000000"/>
        </w:rPr>
      </w:pPr>
      <w:r>
        <w:rPr>
          <w:rFonts w:ascii="Times New Roman" w:hAnsi="Times New Roman" w:cs="Times New Roman"/>
          <w:color w:val="000000"/>
        </w:rPr>
        <w:t>各个监测项目价格根据广东省环境监测协会《关于发布＜广东省环境监测行业指导价＞的通知》（粤环监协〔2018〕611号）及结合越秀区污染源</w:t>
      </w:r>
      <w:r>
        <w:rPr>
          <w:rFonts w:ascii="Times New Roman" w:hAnsi="Times New Roman" w:cs="Times New Roman"/>
          <w:color w:val="auto"/>
          <w:highlight w:val="none"/>
        </w:rPr>
        <w:t>监测</w:t>
      </w:r>
      <w:r>
        <w:rPr>
          <w:rFonts w:ascii="Times New Roman" w:hAnsi="Times New Roman" w:cs="Times New Roman"/>
          <w:color w:val="000000"/>
        </w:rPr>
        <w:t>工作实际，拟定以下各监测项目的单价为最高限价，</w:t>
      </w:r>
      <w:r>
        <w:rPr>
          <w:rFonts w:hint="eastAsia" w:ascii="Times New Roman" w:hAnsi="Times New Roman" w:cs="Times New Roman"/>
          <w:color w:val="000000"/>
          <w:lang w:eastAsia="zh-CN"/>
        </w:rPr>
        <w:t>供应商</w:t>
      </w:r>
      <w:r>
        <w:rPr>
          <w:rFonts w:ascii="Times New Roman" w:hAnsi="Times New Roman" w:cs="Times New Roman"/>
          <w:color w:val="000000"/>
        </w:rPr>
        <w:t>需根据国家、省、市的有关规定，并结合越秀区污染</w:t>
      </w:r>
      <w:r>
        <w:rPr>
          <w:rFonts w:ascii="Times New Roman" w:hAnsi="Times New Roman" w:cs="Times New Roman"/>
          <w:color w:val="000000"/>
          <w:highlight w:val="none"/>
        </w:rPr>
        <w:t>源监测</w:t>
      </w:r>
      <w:r>
        <w:rPr>
          <w:rFonts w:ascii="Times New Roman" w:hAnsi="Times New Roman" w:cs="Times New Roman"/>
          <w:color w:val="000000"/>
        </w:rPr>
        <w:t>实际，对各监测项目单价按</w:t>
      </w:r>
      <w:r>
        <w:rPr>
          <w:rFonts w:ascii="Times New Roman" w:hAnsi="Times New Roman" w:cs="Times New Roman"/>
          <w:color w:val="000000"/>
          <w:highlight w:val="none"/>
        </w:rPr>
        <w:t>照同一下浮率向</w:t>
      </w:r>
      <w:r>
        <w:rPr>
          <w:rFonts w:ascii="Times New Roman" w:hAnsi="Times New Roman" w:cs="Times New Roman"/>
          <w:color w:val="000000"/>
        </w:rPr>
        <w:t>下浮动进行报价，并根据同一下浮率计算出各监测项目单价。</w:t>
      </w:r>
    </w:p>
    <w:p>
      <w:pPr>
        <w:snapToGrid w:val="0"/>
        <w:spacing w:before="156" w:beforeLines="50" w:line="360" w:lineRule="auto"/>
        <w:outlineLvl w:val="1"/>
        <w:rPr>
          <w:rFonts w:ascii="Times New Roman" w:hAnsi="Times New Roman" w:cs="Times New Roman"/>
          <w:color w:val="000000"/>
        </w:rPr>
      </w:pPr>
    </w:p>
    <w:p>
      <w:pPr>
        <w:snapToGrid w:val="0"/>
        <w:spacing w:line="360" w:lineRule="auto"/>
        <w:ind w:left="105" w:leftChars="50" w:firstLine="422" w:firstLineChars="200"/>
        <w:jc w:val="center"/>
        <w:outlineLvl w:val="1"/>
        <w:rPr>
          <w:rFonts w:ascii="Times New Roman" w:hAnsi="Times New Roman" w:cs="Times New Roman"/>
          <w:color w:val="000000"/>
        </w:rPr>
      </w:pPr>
      <w:r>
        <w:rPr>
          <w:rFonts w:ascii="Times New Roman" w:hAnsi="Times New Roman" w:cs="Times New Roman"/>
          <w:b/>
          <w:bCs/>
          <w:color w:val="000000"/>
        </w:rPr>
        <w:t>监测项目及单价限价表</w:t>
      </w:r>
    </w:p>
    <w:tbl>
      <w:tblPr>
        <w:tblStyle w:val="7"/>
        <w:tblpPr w:leftFromText="180" w:rightFromText="180" w:vertAnchor="text" w:horzAnchor="page" w:tblpX="1300" w:tblpY="198"/>
        <w:tblOverlap w:val="never"/>
        <w:tblW w:w="9360" w:type="dxa"/>
        <w:tblInd w:w="0" w:type="dxa"/>
        <w:shd w:val="clear" w:color="auto" w:fill="auto"/>
        <w:tblLayout w:type="autofit"/>
        <w:tblCellMar>
          <w:top w:w="0" w:type="dxa"/>
          <w:left w:w="108" w:type="dxa"/>
          <w:bottom w:w="0" w:type="dxa"/>
          <w:right w:w="108" w:type="dxa"/>
        </w:tblCellMar>
      </w:tblPr>
      <w:tblGrid>
        <w:gridCol w:w="430"/>
        <w:gridCol w:w="2060"/>
        <w:gridCol w:w="1380"/>
        <w:gridCol w:w="960"/>
        <w:gridCol w:w="3570"/>
        <w:gridCol w:w="960"/>
      </w:tblGrid>
      <w:tr>
        <w:tblPrEx>
          <w:shd w:val="clear" w:color="auto" w:fill="auto"/>
          <w:tblCellMar>
            <w:top w:w="0" w:type="dxa"/>
            <w:left w:w="108" w:type="dxa"/>
            <w:bottom w:w="0" w:type="dxa"/>
            <w:right w:w="108" w:type="dxa"/>
          </w:tblCellMar>
        </w:tblPrEx>
        <w:trPr>
          <w:trHeight w:val="310" w:hRule="atLeast"/>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序号</w:t>
            </w:r>
          </w:p>
        </w:tc>
        <w:tc>
          <w:tcPr>
            <w:tcW w:w="2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监测项目</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监测项目</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计费</w:t>
            </w:r>
          </w:p>
        </w:tc>
        <w:tc>
          <w:tcPr>
            <w:tcW w:w="3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单价限价</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r>
      <w:tr>
        <w:tblPrEx>
          <w:tblCellMar>
            <w:top w:w="0" w:type="dxa"/>
            <w:left w:w="108" w:type="dxa"/>
            <w:bottom w:w="0" w:type="dxa"/>
            <w:right w:w="108" w:type="dxa"/>
          </w:tblCellMar>
        </w:tblPrEx>
        <w:trPr>
          <w:trHeight w:val="310" w:hRule="atLeast"/>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s="Times New Roman"/>
                <w:b/>
                <w:bCs/>
                <w:i w:val="0"/>
                <w:iCs w:val="0"/>
                <w:color w:val="000000"/>
                <w:sz w:val="18"/>
                <w:szCs w:val="18"/>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类型</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单位</w:t>
            </w:r>
          </w:p>
        </w:tc>
        <w:tc>
          <w:tcPr>
            <w:tcW w:w="3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（元）</w:t>
            </w:r>
          </w:p>
        </w:tc>
      </w:tr>
      <w:tr>
        <w:tblPrEx>
          <w:shd w:val="clear" w:color="auto" w:fill="auto"/>
          <w:tblCellMar>
            <w:top w:w="0" w:type="dxa"/>
            <w:left w:w="108" w:type="dxa"/>
            <w:bottom w:w="0" w:type="dxa"/>
            <w:right w:w="108" w:type="dxa"/>
          </w:tblCellMar>
        </w:tblPrEx>
        <w:trPr>
          <w:trHeight w:val="57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0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废气</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恶臭气体（臭气浓度）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shd w:val="clear" w:color="auto" w:fill="auto"/>
          <w:tblCellMar>
            <w:top w:w="0" w:type="dxa"/>
            <w:left w:w="108" w:type="dxa"/>
            <w:bottom w:w="0" w:type="dxa"/>
            <w:right w:w="108" w:type="dxa"/>
          </w:tblCellMar>
        </w:tblPrEx>
        <w:trPr>
          <w:trHeight w:val="10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lang w:val="en-US" w:eastAsia="zh-CN" w:bidi="ar"/>
              </w:rPr>
              <w:t>非甲烷总烃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shd w:val="clear" w:color="auto" w:fill="auto"/>
          <w:tblCellMar>
            <w:top w:w="0" w:type="dxa"/>
            <w:left w:w="108" w:type="dxa"/>
            <w:bottom w:w="0" w:type="dxa"/>
            <w:right w:w="108" w:type="dxa"/>
          </w:tblCellMar>
        </w:tblPrEx>
        <w:trPr>
          <w:trHeight w:val="108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苯、甲苯、二甲苯、</w:t>
            </w:r>
            <w:r>
              <w:rPr>
                <w:rFonts w:hint="eastAsia" w:ascii="宋体" w:hAnsi="宋体" w:cs="宋体"/>
                <w:i w:val="0"/>
                <w:iCs w:val="0"/>
                <w:color w:val="000000"/>
                <w:kern w:val="0"/>
                <w:sz w:val="21"/>
                <w:szCs w:val="21"/>
                <w:u w:val="none"/>
                <w:lang w:val="en-US" w:eastAsia="zh-CN" w:bidi="ar"/>
              </w:rPr>
              <w:t>三</w:t>
            </w:r>
            <w:r>
              <w:rPr>
                <w:rFonts w:hint="eastAsia" w:ascii="宋体" w:hAnsi="宋体" w:eastAsia="宋体" w:cs="宋体"/>
                <w:i w:val="0"/>
                <w:iCs w:val="0"/>
                <w:color w:val="000000"/>
                <w:kern w:val="0"/>
                <w:sz w:val="21"/>
                <w:szCs w:val="21"/>
                <w:u w:val="none"/>
                <w:lang w:val="en-US" w:eastAsia="zh-CN" w:bidi="ar"/>
              </w:rPr>
              <w:t>甲苯、总挥发性有机</w:t>
            </w:r>
            <w:r>
              <w:rPr>
                <w:rFonts w:hint="eastAsia" w:ascii="宋体" w:hAnsi="宋体" w:cs="宋体"/>
                <w:i w:val="0"/>
                <w:iCs w:val="0"/>
                <w:color w:val="000000"/>
                <w:kern w:val="0"/>
                <w:sz w:val="21"/>
                <w:szCs w:val="21"/>
                <w:u w:val="none"/>
                <w:lang w:val="en-US" w:eastAsia="zh-CN" w:bidi="ar"/>
              </w:rPr>
              <w:t>污染</w:t>
            </w:r>
            <w:r>
              <w:rPr>
                <w:rFonts w:hint="eastAsia" w:ascii="宋体" w:hAnsi="宋体" w:eastAsia="宋体" w:cs="宋体"/>
                <w:i w:val="0"/>
                <w:iCs w:val="0"/>
                <w:color w:val="000000"/>
                <w:kern w:val="0"/>
                <w:sz w:val="21"/>
                <w:szCs w:val="21"/>
                <w:u w:val="none"/>
                <w:lang w:val="en-US" w:eastAsia="zh-CN" w:bidi="ar"/>
              </w:rPr>
              <w:t>物</w:t>
            </w:r>
            <w:r>
              <w:rPr>
                <w:rFonts w:hint="eastAsia" w:ascii="宋体" w:hAnsi="宋体" w:cs="宋体"/>
                <w:color w:val="auto"/>
                <w:kern w:val="0"/>
                <w:sz w:val="21"/>
                <w:szCs w:val="21"/>
                <w:highlight w:val="none"/>
                <w:lang w:bidi="ar"/>
              </w:rPr>
              <w:t>（TVOCs）</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点</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1700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trHeight w:val="108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cs="Times New Roman"/>
                <w:i w:val="0"/>
                <w:iCs w:val="0"/>
                <w:color w:val="000000"/>
                <w:sz w:val="21"/>
                <w:szCs w:val="21"/>
                <w:u w:val="none"/>
                <w:lang w:val="en-US" w:eastAsia="zh-CN"/>
              </w:rPr>
            </w:pP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锅炉废气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点</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4650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trHeight w:val="108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4</w:t>
            </w: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ascii="Times New Roman" w:hAnsi="Times New Roman" w:cs="Times New Roman"/>
                <w:color w:val="000000"/>
              </w:rPr>
              <w:t>饮食业油烟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20</w:t>
            </w:r>
            <w:r>
              <w:rPr>
                <w:rFonts w:hint="default" w:ascii="Times New Roman" w:hAnsi="Times New Roman" w:eastAsia="宋体" w:cs="Times New Roman"/>
                <w:i w:val="0"/>
                <w:iCs w:val="0"/>
                <w:color w:val="000000"/>
                <w:kern w:val="0"/>
                <w:sz w:val="21"/>
                <w:szCs w:val="21"/>
                <w:u w:val="none"/>
                <w:lang w:val="en-US" w:eastAsia="zh-CN" w:bidi="ar"/>
              </w:rPr>
              <w:t>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trHeight w:val="28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5</w:t>
            </w:r>
          </w:p>
        </w:tc>
        <w:tc>
          <w:tcPr>
            <w:tcW w:w="2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医疗污水（8项）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w:t>
            </w:r>
            <w:r>
              <w:rPr>
                <w:rStyle w:val="12"/>
                <w:lang w:val="en-US" w:eastAsia="zh-CN" w:bidi="ar"/>
              </w:rPr>
              <w:t>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1110</w:t>
            </w:r>
          </w:p>
        </w:tc>
      </w:tr>
      <w:tr>
        <w:tblPrEx>
          <w:tblCellMar>
            <w:top w:w="0" w:type="dxa"/>
            <w:left w:w="108" w:type="dxa"/>
            <w:bottom w:w="0" w:type="dxa"/>
            <w:right w:w="108" w:type="dxa"/>
          </w:tblCellMar>
        </w:tblPrEx>
        <w:trPr>
          <w:trHeight w:val="28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6</w:t>
            </w: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化学需氧量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28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7</w:t>
            </w: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悬浮物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28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8</w:t>
            </w: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氨氮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CellMar>
            <w:top w:w="0" w:type="dxa"/>
            <w:left w:w="108" w:type="dxa"/>
            <w:bottom w:w="0" w:type="dxa"/>
            <w:right w:w="108" w:type="dxa"/>
          </w:tblCellMar>
        </w:tblPrEx>
        <w:trPr>
          <w:trHeight w:val="28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9</w:t>
            </w: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总磷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28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10</w:t>
            </w: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粪大肠菌群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CellMar>
            <w:top w:w="0" w:type="dxa"/>
            <w:left w:w="108" w:type="dxa"/>
            <w:bottom w:w="0" w:type="dxa"/>
            <w:right w:w="108" w:type="dxa"/>
          </w:tblCellMar>
        </w:tblPrEx>
        <w:trPr>
          <w:trHeight w:val="28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cs="Times New Roman"/>
                <w:i w:val="0"/>
                <w:iCs w:val="0"/>
                <w:color w:val="000000"/>
                <w:kern w:val="0"/>
                <w:sz w:val="21"/>
                <w:szCs w:val="21"/>
                <w:u w:val="none"/>
                <w:lang w:val="en-US" w:eastAsia="zh-CN" w:bidi="ar"/>
              </w:rPr>
              <w:t>1</w:t>
            </w: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动植物油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CellMar>
            <w:top w:w="0" w:type="dxa"/>
            <w:left w:w="108" w:type="dxa"/>
            <w:bottom w:w="0" w:type="dxa"/>
            <w:right w:w="108" w:type="dxa"/>
          </w:tblCellMar>
        </w:tblPrEx>
        <w:trPr>
          <w:trHeight w:val="28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cs="Times New Roman"/>
                <w:i w:val="0"/>
                <w:iCs w:val="0"/>
                <w:color w:val="000000"/>
                <w:kern w:val="0"/>
                <w:sz w:val="21"/>
                <w:szCs w:val="21"/>
                <w:u w:val="none"/>
                <w:lang w:val="en-US" w:eastAsia="zh-CN" w:bidi="ar"/>
              </w:rPr>
              <w:t>2</w:t>
            </w: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石油类</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CellMar>
            <w:top w:w="0" w:type="dxa"/>
            <w:left w:w="108" w:type="dxa"/>
            <w:bottom w:w="0" w:type="dxa"/>
            <w:right w:w="108" w:type="dxa"/>
          </w:tblCellMar>
        </w:tblPrEx>
        <w:trPr>
          <w:trHeight w:val="800" w:hRule="atLeast"/>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cs="Times New Roman"/>
                <w:i w:val="0"/>
                <w:iCs w:val="0"/>
                <w:color w:val="000000"/>
                <w:kern w:val="0"/>
                <w:sz w:val="21"/>
                <w:szCs w:val="21"/>
                <w:u w:val="none"/>
                <w:lang w:val="en-US" w:eastAsia="zh-CN" w:bidi="ar"/>
              </w:rPr>
              <w:t>3</w:t>
            </w:r>
          </w:p>
        </w:tc>
        <w:tc>
          <w:tcPr>
            <w:tcW w:w="20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电磁（电离）</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电场强度、磁场强度、功率密度</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w:t>
            </w:r>
          </w:p>
        </w:tc>
        <w:tc>
          <w:tcPr>
            <w:tcW w:w="3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shd w:val="clear" w:color="auto" w:fill="auto"/>
          <w:tblCellMar>
            <w:top w:w="0" w:type="dxa"/>
            <w:left w:w="108" w:type="dxa"/>
            <w:bottom w:w="0" w:type="dxa"/>
            <w:right w:w="108" w:type="dxa"/>
          </w:tblCellMar>
        </w:tblPrEx>
        <w:trPr>
          <w:trHeight w:val="280" w:hRule="atLeast"/>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none"/>
              </w:rPr>
            </w:pP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3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CellMar>
            <w:top w:w="0" w:type="dxa"/>
            <w:left w:w="108" w:type="dxa"/>
            <w:bottom w:w="0" w:type="dxa"/>
            <w:right w:w="108" w:type="dxa"/>
          </w:tblCellMar>
        </w:tblPrEx>
        <w:trPr>
          <w:trHeight w:val="57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cs="Times New Roman"/>
                <w:i w:val="0"/>
                <w:iCs w:val="0"/>
                <w:color w:val="000000"/>
                <w:kern w:val="0"/>
                <w:sz w:val="21"/>
                <w:szCs w:val="21"/>
                <w:u w:val="none"/>
                <w:lang w:val="en-US" w:eastAsia="zh-CN" w:bidi="ar"/>
              </w:rPr>
              <w:t>4</w:t>
            </w: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无线电干扰场强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shd w:val="clear" w:color="auto" w:fill="auto"/>
          <w:tblCellMar>
            <w:top w:w="0" w:type="dxa"/>
            <w:left w:w="108" w:type="dxa"/>
            <w:bottom w:w="0" w:type="dxa"/>
            <w:right w:w="108" w:type="dxa"/>
          </w:tblCellMar>
        </w:tblPrEx>
        <w:trPr>
          <w:trHeight w:val="57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cs="Times New Roman"/>
                <w:i w:val="0"/>
                <w:iCs w:val="0"/>
                <w:color w:val="000000"/>
                <w:kern w:val="0"/>
                <w:sz w:val="21"/>
                <w:szCs w:val="21"/>
                <w:u w:val="none"/>
                <w:lang w:val="en-US" w:eastAsia="zh-CN" w:bidi="ar"/>
              </w:rPr>
              <w:t>5</w:t>
            </w: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4"/>
                <w:rFonts w:hint="eastAsia" w:ascii="宋体" w:hAnsi="宋体" w:cs="宋体"/>
                <w:color w:val="auto"/>
                <w:sz w:val="21"/>
                <w:szCs w:val="21"/>
                <w:highlight w:val="none"/>
                <w:lang w:bidi="ar"/>
              </w:rPr>
              <w:t>γ</w:t>
            </w:r>
            <w:r>
              <w:rPr>
                <w:rStyle w:val="13"/>
                <w:rFonts w:hint="default"/>
                <w:color w:val="auto"/>
                <w:sz w:val="21"/>
                <w:szCs w:val="21"/>
                <w:highlight w:val="none"/>
                <w:lang w:bidi="ar"/>
              </w:rPr>
              <w:t>辐射剂量率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trHeight w:val="570" w:hRule="atLeast"/>
        </w:trPr>
        <w:tc>
          <w:tcPr>
            <w:tcW w:w="43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16</w:t>
            </w:r>
          </w:p>
        </w:tc>
        <w:tc>
          <w:tcPr>
            <w:tcW w:w="206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3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α</w:t>
            </w:r>
            <w:r>
              <w:rPr>
                <w:rStyle w:val="12"/>
                <w:lang w:val="en-US" w:eastAsia="zh-CN" w:bidi="ar"/>
              </w:rPr>
              <w:t>、</w:t>
            </w:r>
            <w:r>
              <w:rPr>
                <w:rStyle w:val="11"/>
                <w:rFonts w:eastAsia="宋体"/>
                <w:lang w:val="en-US" w:eastAsia="zh-CN" w:bidi="ar"/>
              </w:rPr>
              <w:t>β</w:t>
            </w:r>
            <w:r>
              <w:rPr>
                <w:rStyle w:val="12"/>
                <w:lang w:val="en-US" w:eastAsia="zh-CN" w:bidi="ar"/>
              </w:rPr>
              <w:t>表面污染</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trHeight w:val="570" w:hRule="atLeast"/>
        </w:trPr>
        <w:tc>
          <w:tcPr>
            <w:tcW w:w="43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206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r>
              <w:rPr>
                <w:rFonts w:ascii="Times New Roman" w:hAnsi="Times New Roman" w:cs="Times New Roman"/>
                <w:b/>
                <w:bCs/>
                <w:color w:val="000000"/>
              </w:rPr>
              <w:t>噪声</w:t>
            </w:r>
          </w:p>
        </w:tc>
        <w:tc>
          <w:tcPr>
            <w:tcW w:w="13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ascii="Times New Roman" w:hAnsi="Times New Roman" w:cs="Times New Roman"/>
                <w:color w:val="000000"/>
              </w:rPr>
              <w:t>昼间</w:t>
            </w:r>
            <w:r>
              <w:rPr>
                <w:rFonts w:hint="eastAsia" w:ascii="Times New Roman" w:hAnsi="Times New Roman" w:cs="Times New Roman"/>
                <w:color w:val="000000"/>
                <w:lang w:val="en-US" w:eastAsia="zh-CN"/>
              </w:rPr>
              <w:t>/夜间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100/400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trHeight w:val="555" w:hRule="atLeast"/>
        </w:trPr>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5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上述单价包括采样、检测、人员、交通、税费等全部费用</w:t>
            </w:r>
          </w:p>
        </w:tc>
      </w:tr>
    </w:tbl>
    <w:p>
      <w:pPr>
        <w:snapToGrid w:val="0"/>
        <w:spacing w:line="360" w:lineRule="auto"/>
        <w:ind w:left="105" w:leftChars="50" w:firstLine="422" w:firstLineChars="200"/>
        <w:jc w:val="center"/>
        <w:outlineLvl w:val="1"/>
        <w:rPr>
          <w:rFonts w:ascii="Times New Roman" w:hAnsi="Times New Roman" w:cs="Times New Roman"/>
          <w:b/>
          <w:bCs/>
          <w:color w:val="000000"/>
        </w:rPr>
      </w:pPr>
    </w:p>
    <w:p>
      <w:pPr>
        <w:snapToGrid w:val="0"/>
        <w:spacing w:line="360" w:lineRule="auto"/>
        <w:ind w:left="105" w:leftChars="50" w:firstLine="422" w:firstLineChars="200"/>
        <w:jc w:val="center"/>
        <w:outlineLvl w:val="1"/>
        <w:rPr>
          <w:rFonts w:ascii="Times New Roman" w:hAnsi="Times New Roman" w:cs="Times New Roman"/>
          <w:b/>
          <w:bCs/>
          <w:color w:val="000000"/>
        </w:rPr>
      </w:pPr>
    </w:p>
    <w:p>
      <w:pPr>
        <w:adjustRightInd w:val="0"/>
        <w:snapToGrid w:val="0"/>
        <w:spacing w:before="156" w:beforeLines="50" w:line="360" w:lineRule="auto"/>
        <w:ind w:firstLine="420" w:firstLineChars="200"/>
        <w:jc w:val="left"/>
        <w:outlineLvl w:val="1"/>
        <w:rPr>
          <w:rFonts w:hint="eastAsia" w:ascii="Times New Roman" w:hAnsi="Times New Roman" w:cs="Times New Roman"/>
          <w:color w:val="000000"/>
          <w:lang w:eastAsia="zh-CN"/>
        </w:rPr>
      </w:pPr>
      <w:r>
        <w:rPr>
          <w:rFonts w:ascii="Times New Roman" w:hAnsi="Times New Roman" w:cs="Times New Roman"/>
          <w:color w:val="000000"/>
        </w:rPr>
        <w:t>注：1、本项目以各监测项目的单价的同一下浮率进行报价。</w:t>
      </w:r>
      <w:r>
        <w:rPr>
          <w:rFonts w:hint="eastAsia" w:ascii="Times New Roman" w:hAnsi="Times New Roman" w:cs="Times New Roman"/>
          <w:color w:val="000000"/>
          <w:lang w:val="en-US" w:eastAsia="zh-CN"/>
        </w:rPr>
        <w:t>供应商</w:t>
      </w:r>
      <w:r>
        <w:rPr>
          <w:rFonts w:ascii="Times New Roman" w:hAnsi="Times New Roman" w:cs="Times New Roman"/>
          <w:color w:val="000000"/>
        </w:rPr>
        <w:t>的下浮率若大于15%的，需提供成本核算说明及证明材料，</w:t>
      </w:r>
      <w:r>
        <w:rPr>
          <w:rFonts w:hint="eastAsia" w:ascii="Times New Roman" w:hAnsi="Times New Roman" w:cs="Times New Roman"/>
          <w:color w:val="000000"/>
          <w:lang w:val="en-US" w:eastAsia="zh-CN"/>
        </w:rPr>
        <w:t>供应商</w:t>
      </w:r>
      <w:r>
        <w:rPr>
          <w:rFonts w:ascii="Times New Roman" w:hAnsi="Times New Roman" w:cs="Times New Roman"/>
          <w:color w:val="000000"/>
        </w:rPr>
        <w:t>不能合理说明或者不能提供相关证明材料的，其报价将视为无效</w:t>
      </w:r>
      <w:r>
        <w:rPr>
          <w:rFonts w:hint="eastAsia" w:ascii="Times New Roman" w:hAnsi="Times New Roman" w:cs="Times New Roman"/>
          <w:color w:val="000000"/>
          <w:lang w:eastAsia="zh-CN"/>
        </w:rPr>
        <w:t>。</w:t>
      </w:r>
    </w:p>
    <w:p>
      <w:pPr>
        <w:adjustRightInd w:val="0"/>
        <w:snapToGrid w:val="0"/>
        <w:spacing w:before="156" w:beforeLines="50" w:line="360" w:lineRule="auto"/>
        <w:ind w:firstLine="420" w:firstLineChars="200"/>
        <w:jc w:val="left"/>
        <w:outlineLvl w:val="1"/>
        <w:rPr>
          <w:rFonts w:ascii="Times New Roman" w:hAnsi="Times New Roman" w:cs="Times New Roman"/>
          <w:color w:val="000000"/>
        </w:rPr>
      </w:pPr>
      <w:r>
        <w:rPr>
          <w:rFonts w:hint="eastAsia" w:ascii="Times New Roman" w:hAnsi="Times New Roman" w:cs="Times New Roman"/>
          <w:color w:val="000000"/>
          <w:lang w:val="en-US" w:eastAsia="zh-CN"/>
        </w:rPr>
        <w:t>2、</w:t>
      </w:r>
      <w:r>
        <w:rPr>
          <w:rFonts w:ascii="Times New Roman" w:hAnsi="Times New Roman" w:cs="Times New Roman"/>
          <w:color w:val="000000"/>
        </w:rPr>
        <w:t>结算时，各监测项目的单价=各单价限价×（1-成交单价下浮率），然后据实结算。</w:t>
      </w:r>
    </w:p>
    <w:p>
      <w:pPr>
        <w:adjustRightInd w:val="0"/>
        <w:snapToGrid w:val="0"/>
        <w:spacing w:before="156" w:beforeLines="50" w:line="360" w:lineRule="auto"/>
        <w:ind w:firstLine="420" w:firstLineChars="200"/>
        <w:jc w:val="left"/>
        <w:outlineLvl w:val="1"/>
        <w:rPr>
          <w:rFonts w:ascii="Times New Roman" w:hAnsi="Times New Roman" w:cs="Times New Roman"/>
          <w:color w:val="000000"/>
        </w:rPr>
      </w:pPr>
      <w:r>
        <w:rPr>
          <w:rFonts w:hint="eastAsia" w:ascii="Times New Roman" w:hAnsi="Times New Roman" w:cs="Times New Roman"/>
          <w:color w:val="000000"/>
          <w:lang w:val="en-US" w:eastAsia="zh-CN"/>
        </w:rPr>
        <w:t>3</w:t>
      </w:r>
      <w:r>
        <w:rPr>
          <w:rFonts w:ascii="Times New Roman" w:hAnsi="Times New Roman" w:cs="Times New Roman"/>
          <w:color w:val="000000"/>
        </w:rPr>
        <w:t>、监测项目及单价限价中单价已包含该项目的采样、检测、人员、交通、税费等全部费用。采购人不再另外支付任何费用。</w:t>
      </w:r>
    </w:p>
    <w:p>
      <w:pPr>
        <w:adjustRightInd w:val="0"/>
        <w:snapToGrid w:val="0"/>
        <w:spacing w:before="156" w:beforeLines="50" w:line="360" w:lineRule="auto"/>
        <w:ind w:firstLine="420" w:firstLineChars="200"/>
        <w:jc w:val="left"/>
        <w:outlineLvl w:val="1"/>
        <w:rPr>
          <w:rFonts w:hint="default"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4</w:t>
      </w:r>
      <w:r>
        <w:rPr>
          <w:rFonts w:ascii="Times New Roman" w:hAnsi="Times New Roman" w:cs="Times New Roman"/>
          <w:color w:val="000000"/>
        </w:rPr>
        <w:t>、</w:t>
      </w:r>
      <w:r>
        <w:rPr>
          <w:rFonts w:hint="eastAsia" w:ascii="Times New Roman" w:hAnsi="Times New Roman" w:cs="Times New Roman"/>
          <w:color w:val="000000"/>
          <w:lang w:val="en-US" w:eastAsia="zh-CN"/>
        </w:rPr>
        <w:t>监测项目包括但不限于上表的项目，采购人可根据实际监测需求，提出其他监测项目，具有相关资质的成交供应商应配合开展监测服务。</w:t>
      </w:r>
    </w:p>
    <w:p>
      <w:pPr>
        <w:snapToGrid w:val="0"/>
        <w:spacing w:line="360" w:lineRule="auto"/>
        <w:jc w:val="left"/>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二、技术要求和监测项目</w:t>
      </w:r>
    </w:p>
    <w:p>
      <w:pPr>
        <w:snapToGrid w:val="0"/>
        <w:spacing w:line="360" w:lineRule="auto"/>
        <w:ind w:left="105" w:hanging="105"/>
        <w:jc w:val="left"/>
        <w:outlineLvl w:val="1"/>
        <w:rPr>
          <w:rFonts w:ascii="Times New Roman" w:hAnsi="Times New Roman" w:cs="Times New Roman"/>
          <w:color w:val="000000"/>
        </w:rPr>
      </w:pPr>
      <w:r>
        <w:rPr>
          <w:rFonts w:ascii="Times New Roman" w:hAnsi="Times New Roman" w:cs="Times New Roman"/>
          <w:color w:val="000000"/>
        </w:rPr>
        <w:t>（一）</w:t>
      </w:r>
      <w:r>
        <w:rPr>
          <w:rFonts w:hint="eastAsia" w:ascii="Times New Roman" w:hAnsi="Times New Roman" w:cs="Times New Roman"/>
          <w:color w:val="000000"/>
          <w:lang w:eastAsia="zh-CN"/>
        </w:rPr>
        <w:t>供应商</w:t>
      </w:r>
      <w:r>
        <w:rPr>
          <w:rFonts w:ascii="Times New Roman" w:hAnsi="Times New Roman" w:cs="Times New Roman"/>
          <w:color w:val="000000"/>
        </w:rPr>
        <w:t>基本要求</w:t>
      </w:r>
    </w:p>
    <w:p>
      <w:pPr>
        <w:tabs>
          <w:tab w:val="left" w:pos="1900"/>
        </w:tabs>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ascii="Times New Roman" w:hAnsi="Times New Roman" w:cs="Times New Roman"/>
          <w:color w:val="000000"/>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必须具有独立承担民事责任能力的中华人民共和国境内注册的法人或其他组织，经营范围包含环境</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监</w:t>
      </w:r>
      <w:r>
        <w:rPr>
          <w:rFonts w:hint="eastAsia" w:asciiTheme="minorEastAsia" w:hAnsiTheme="minorEastAsia" w:eastAsiaTheme="minorEastAsia" w:cstheme="minorEastAsia"/>
          <w:color w:val="000000" w:themeColor="text1"/>
          <w:sz w:val="21"/>
          <w:szCs w:val="21"/>
          <w14:textFill>
            <w14:solidFill>
              <w14:schemeClr w14:val="tx1"/>
            </w14:solidFill>
          </w14:textFill>
        </w:rPr>
        <w:t>测和污染源</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监</w:t>
      </w:r>
      <w:r>
        <w:rPr>
          <w:rFonts w:hint="eastAsia" w:asciiTheme="minorEastAsia" w:hAnsiTheme="minorEastAsia" w:eastAsiaTheme="minorEastAsia" w:cstheme="minorEastAsia"/>
          <w:color w:val="000000" w:themeColor="text1"/>
          <w:sz w:val="21"/>
          <w:szCs w:val="21"/>
          <w14:textFill>
            <w14:solidFill>
              <w14:schemeClr w14:val="tx1"/>
            </w14:solidFill>
          </w14:textFill>
        </w:rPr>
        <w:t>测。</w:t>
      </w:r>
    </w:p>
    <w:p>
      <w:pPr>
        <w:tabs>
          <w:tab w:val="left" w:pos="1900"/>
        </w:tabs>
        <w:spacing w:line="360" w:lineRule="auto"/>
        <w:ind w:firstLine="420" w:firstLineChars="200"/>
        <w:rPr>
          <w:rFonts w:ascii="Times New Roman" w:hAnsi="Times New Roman" w:cs="Times New Roman"/>
          <w:color w:val="000000"/>
        </w:rPr>
      </w:pPr>
      <w:r>
        <w:rPr>
          <w:rFonts w:hint="eastAsia" w:asciiTheme="minorEastAsia" w:hAnsiTheme="minorEastAsia" w:eastAsiaTheme="minorEastAsia" w:cstheme="minorEastAsia"/>
          <w:color w:val="auto"/>
          <w:sz w:val="21"/>
          <w:szCs w:val="21"/>
          <w:lang w:val="en-US" w:eastAsia="zh-CN"/>
        </w:rPr>
        <w:t>2、</w:t>
      </w:r>
      <w:r>
        <w:rPr>
          <w:rFonts w:hint="eastAsia" w:ascii="Times New Roman" w:hAnsi="Times New Roman" w:cs="Times New Roman"/>
          <w:color w:val="auto"/>
          <w:lang w:val="en-US" w:eastAsia="zh-CN"/>
        </w:rPr>
        <w:t>须</w:t>
      </w:r>
      <w:r>
        <w:rPr>
          <w:rFonts w:ascii="Times New Roman" w:hAnsi="Times New Roman" w:cs="Times New Roman"/>
          <w:color w:val="auto"/>
        </w:rPr>
        <w:t>提供“检</w:t>
      </w:r>
      <w:r>
        <w:rPr>
          <w:rFonts w:ascii="Times New Roman" w:hAnsi="Times New Roman" w:cs="Times New Roman"/>
          <w:color w:val="000000"/>
        </w:rPr>
        <w:t>验检测机构资质认定证书”附表中的授权签字人及领域表</w:t>
      </w:r>
      <w:r>
        <w:rPr>
          <w:rFonts w:hint="eastAsia" w:ascii="Times New Roman" w:hAnsi="Times New Roman" w:cs="Times New Roman"/>
          <w:color w:val="000000"/>
          <w:lang w:eastAsia="zh-CN"/>
        </w:rPr>
        <w:t>，</w:t>
      </w:r>
      <w:r>
        <w:rPr>
          <w:rFonts w:ascii="Times New Roman" w:hAnsi="Times New Roman" w:cs="Times New Roman"/>
          <w:color w:val="000000"/>
        </w:rPr>
        <w:t>至少一名授权签字人的“批准授权签字领域”必须覆盖采购人所需监测项目的要求（以“检验检测机构资质认定证书”为准）。</w:t>
      </w:r>
    </w:p>
    <w:p>
      <w:pPr>
        <w:tabs>
          <w:tab w:val="left" w:pos="1900"/>
        </w:tabs>
        <w:spacing w:line="360" w:lineRule="auto"/>
        <w:ind w:firstLine="420" w:firstLineChars="200"/>
        <w:rPr>
          <w:rFonts w:ascii="Times New Roman" w:hAnsi="Times New Roman" w:cs="Times New Roman"/>
          <w:color w:val="000000"/>
        </w:rPr>
      </w:pPr>
      <w:r>
        <w:rPr>
          <w:rFonts w:hint="eastAsia" w:ascii="Times New Roman" w:hAnsi="Times New Roman" w:cs="Times New Roman"/>
          <w:color w:val="000000"/>
          <w:lang w:val="en-US" w:eastAsia="zh-CN"/>
        </w:rPr>
        <w:t>3</w:t>
      </w:r>
      <w:r>
        <w:rPr>
          <w:rFonts w:ascii="Times New Roman" w:hAnsi="Times New Roman" w:cs="Times New Roman"/>
          <w:color w:val="000000"/>
        </w:rPr>
        <w:t>、必须具有履行合同所必需的设备、场地和专业技术能力，必须配备足够的监测人员和管理人员。要求至少有15名持有上岗证的环境检测类技术人员，3名以上监测报告授权签字人。</w:t>
      </w:r>
    </w:p>
    <w:p>
      <w:pPr>
        <w:tabs>
          <w:tab w:val="left" w:pos="1900"/>
        </w:tabs>
        <w:spacing w:line="360" w:lineRule="auto"/>
        <w:ind w:firstLine="420" w:firstLineChars="200"/>
        <w:rPr>
          <w:rFonts w:ascii="Times New Roman" w:hAnsi="Times New Roman" w:cs="Times New Roman"/>
          <w:color w:val="000000"/>
        </w:rPr>
      </w:pPr>
      <w:r>
        <w:rPr>
          <w:rFonts w:hint="eastAsia" w:ascii="Times New Roman" w:hAnsi="Times New Roman" w:cs="Times New Roman"/>
          <w:color w:val="000000"/>
          <w:lang w:val="en-US" w:eastAsia="zh-CN"/>
        </w:rPr>
        <w:t>4</w:t>
      </w:r>
      <w:r>
        <w:rPr>
          <w:rFonts w:ascii="Times New Roman" w:hAnsi="Times New Roman" w:cs="Times New Roman"/>
          <w:color w:val="000000"/>
        </w:rPr>
        <w:t>、为了</w:t>
      </w:r>
      <w:r>
        <w:rPr>
          <w:rFonts w:hint="eastAsia" w:ascii="Times New Roman" w:hAnsi="Times New Roman" w:cs="Times New Roman"/>
          <w:color w:val="000000"/>
          <w:lang w:val="en-US" w:eastAsia="zh-CN"/>
        </w:rPr>
        <w:t>保障监测</w:t>
      </w:r>
      <w:r>
        <w:rPr>
          <w:rFonts w:ascii="Times New Roman" w:hAnsi="Times New Roman" w:cs="Times New Roman"/>
          <w:color w:val="000000"/>
        </w:rPr>
        <w:t>项目的顺利实施和有关环境应急监测工作的及时有效完成，经过资质认定的监测机构</w:t>
      </w:r>
      <w:r>
        <w:rPr>
          <w:rFonts w:ascii="Times New Roman" w:hAnsi="Times New Roman" w:cs="Times New Roman"/>
          <w:color w:val="000000"/>
          <w:highlight w:val="none"/>
        </w:rPr>
        <w:t>的实验室和办公</w:t>
      </w:r>
      <w:r>
        <w:rPr>
          <w:rFonts w:hint="eastAsia" w:ascii="Times New Roman" w:hAnsi="Times New Roman" w:cs="Times New Roman"/>
          <w:color w:val="000000"/>
          <w:highlight w:val="none"/>
          <w:lang w:val="en-US" w:eastAsia="zh-CN"/>
        </w:rPr>
        <w:t>场所，</w:t>
      </w:r>
      <w:r>
        <w:rPr>
          <w:rFonts w:ascii="Times New Roman" w:hAnsi="Times New Roman" w:cs="Times New Roman"/>
          <w:color w:val="000000"/>
          <w:highlight w:val="none"/>
        </w:rPr>
        <w:t>且包</w:t>
      </w:r>
      <w:r>
        <w:rPr>
          <w:rFonts w:ascii="Times New Roman" w:hAnsi="Times New Roman" w:cs="Times New Roman"/>
          <w:color w:val="000000"/>
        </w:rPr>
        <w:t>括技术负责人、质量负责人、授权签字人等所有人</w:t>
      </w:r>
      <w:r>
        <w:rPr>
          <w:rFonts w:ascii="Times New Roman" w:hAnsi="Times New Roman" w:cs="Times New Roman"/>
          <w:color w:val="auto"/>
        </w:rPr>
        <w:t>员</w:t>
      </w:r>
      <w:r>
        <w:rPr>
          <w:rFonts w:hint="eastAsia" w:ascii="Times New Roman" w:hAnsi="Times New Roman" w:cs="Times New Roman"/>
          <w:color w:val="auto"/>
          <w:highlight w:val="none"/>
          <w:lang w:val="en-US" w:eastAsia="zh-CN"/>
        </w:rPr>
        <w:t>应符合快速反应的条件</w:t>
      </w:r>
      <w:r>
        <w:rPr>
          <w:rFonts w:hint="eastAsia" w:ascii="Times New Roman" w:hAnsi="Times New Roman" w:cs="Times New Roman"/>
          <w:color w:val="auto"/>
          <w:sz w:val="21"/>
          <w:szCs w:val="21"/>
          <w:highlight w:val="none"/>
          <w:lang w:val="en-US" w:eastAsia="zh-CN"/>
        </w:rPr>
        <w:t>（</w:t>
      </w:r>
      <w:r>
        <w:rPr>
          <w:rFonts w:ascii="宋体" w:hAnsi="宋体" w:eastAsia="宋体" w:cs="宋体"/>
          <w:color w:val="auto"/>
          <w:sz w:val="21"/>
          <w:szCs w:val="21"/>
        </w:rPr>
        <w:t>三小时内到达指定</w:t>
      </w:r>
      <w:r>
        <w:rPr>
          <w:rFonts w:hint="eastAsia" w:ascii="宋体" w:hAnsi="宋体" w:cs="宋体"/>
          <w:color w:val="auto"/>
          <w:sz w:val="21"/>
          <w:szCs w:val="21"/>
          <w:lang w:val="en-US" w:eastAsia="zh-CN"/>
        </w:rPr>
        <w:t>监测</w:t>
      </w:r>
      <w:r>
        <w:rPr>
          <w:rFonts w:ascii="宋体" w:hAnsi="宋体" w:eastAsia="宋体" w:cs="宋体"/>
          <w:color w:val="auto"/>
          <w:sz w:val="21"/>
          <w:szCs w:val="21"/>
        </w:rPr>
        <w:t>地点</w:t>
      </w:r>
      <w:r>
        <w:rPr>
          <w:rFonts w:hint="eastAsia" w:ascii="宋体" w:hAnsi="宋体" w:eastAsia="宋体" w:cs="宋体"/>
          <w:color w:val="auto"/>
          <w:sz w:val="21"/>
          <w:szCs w:val="21"/>
          <w:lang w:val="en-US" w:eastAsia="zh-CN"/>
        </w:rPr>
        <w:t>且</w:t>
      </w:r>
      <w:r>
        <w:rPr>
          <w:rFonts w:hint="eastAsia" w:ascii="宋体" w:hAnsi="宋体" w:cs="宋体"/>
          <w:color w:val="auto"/>
          <w:sz w:val="21"/>
          <w:szCs w:val="21"/>
          <w:lang w:val="en-US" w:eastAsia="zh-CN"/>
        </w:rPr>
        <w:t>按监测规范及时</w:t>
      </w:r>
      <w:r>
        <w:rPr>
          <w:rFonts w:hint="eastAsia" w:ascii="宋体" w:hAnsi="宋体" w:eastAsia="宋体" w:cs="宋体"/>
          <w:color w:val="auto"/>
          <w:sz w:val="21"/>
          <w:szCs w:val="21"/>
          <w:lang w:val="en-US" w:eastAsia="zh-CN"/>
        </w:rPr>
        <w:t>出具监测报告</w:t>
      </w:r>
      <w:r>
        <w:rPr>
          <w:rFonts w:hint="eastAsia" w:ascii="Times New Roman" w:hAnsi="Times New Roman" w:cs="Times New Roman"/>
          <w:color w:val="auto"/>
          <w:sz w:val="21"/>
          <w:szCs w:val="21"/>
          <w:highlight w:val="none"/>
          <w:lang w:val="en-US" w:eastAsia="zh-CN"/>
        </w:rPr>
        <w:t>）</w:t>
      </w:r>
      <w:r>
        <w:rPr>
          <w:rFonts w:ascii="Times New Roman" w:hAnsi="Times New Roman" w:cs="Times New Roman"/>
          <w:color w:val="000000"/>
        </w:rPr>
        <w:t>。</w:t>
      </w:r>
    </w:p>
    <w:p>
      <w:pPr>
        <w:tabs>
          <w:tab w:val="left" w:pos="1900"/>
        </w:tabs>
        <w:spacing w:line="360" w:lineRule="auto"/>
        <w:ind w:firstLine="420" w:firstLineChars="200"/>
        <w:rPr>
          <w:rFonts w:ascii="Times New Roman" w:hAnsi="Times New Roman" w:cs="Times New Roman"/>
          <w:color w:val="000000"/>
        </w:rPr>
      </w:pPr>
      <w:r>
        <w:rPr>
          <w:rFonts w:hint="eastAsia" w:ascii="Times New Roman" w:hAnsi="Times New Roman" w:cs="Times New Roman"/>
          <w:color w:val="000000"/>
          <w:lang w:val="en-US" w:eastAsia="zh-CN"/>
        </w:rPr>
        <w:t>5、供应商</w:t>
      </w:r>
      <w:r>
        <w:rPr>
          <w:rFonts w:ascii="Times New Roman" w:hAnsi="Times New Roman" w:cs="Times New Roman"/>
          <w:color w:val="000000"/>
        </w:rPr>
        <w:t>提供为本项目服务的相关人员（包括技术负责人、质量负责人、授权签字人）近三个月由</w:t>
      </w:r>
      <w:r>
        <w:rPr>
          <w:rFonts w:hint="eastAsia" w:ascii="Times New Roman" w:hAnsi="Times New Roman" w:cs="Times New Roman"/>
          <w:color w:val="000000"/>
          <w:lang w:val="en-US" w:eastAsia="zh-CN"/>
        </w:rPr>
        <w:t>供应商</w:t>
      </w:r>
      <w:r>
        <w:rPr>
          <w:rFonts w:ascii="Times New Roman" w:hAnsi="Times New Roman" w:cs="Times New Roman"/>
          <w:color w:val="000000"/>
        </w:rPr>
        <w:t>为其购买社保证明文件或退休证明文件(如是退休证明文件的</w:t>
      </w:r>
      <w:r>
        <w:rPr>
          <w:rFonts w:hint="eastAsia" w:ascii="Times New Roman" w:hAnsi="Times New Roman" w:cs="Times New Roman"/>
          <w:color w:val="000000"/>
          <w:lang w:eastAsia="zh-CN"/>
        </w:rPr>
        <w:t>，</w:t>
      </w:r>
      <w:r>
        <w:rPr>
          <w:rFonts w:ascii="Times New Roman" w:hAnsi="Times New Roman" w:cs="Times New Roman"/>
          <w:color w:val="000000"/>
        </w:rPr>
        <w:t>需同时提供与</w:t>
      </w:r>
      <w:r>
        <w:rPr>
          <w:rFonts w:hint="eastAsia" w:ascii="Times New Roman" w:hAnsi="Times New Roman" w:cs="Times New Roman"/>
          <w:color w:val="000000"/>
          <w:lang w:val="en-US" w:eastAsia="zh-CN"/>
        </w:rPr>
        <w:t>供应商</w:t>
      </w:r>
      <w:r>
        <w:rPr>
          <w:rFonts w:ascii="Times New Roman" w:hAnsi="Times New Roman" w:cs="Times New Roman"/>
          <w:color w:val="000000"/>
        </w:rPr>
        <w:t>签订的劳动合同)。</w:t>
      </w:r>
    </w:p>
    <w:p>
      <w:pPr>
        <w:tabs>
          <w:tab w:val="left" w:pos="1900"/>
        </w:tabs>
        <w:spacing w:line="360" w:lineRule="auto"/>
        <w:ind w:firstLine="420" w:firstLineChars="200"/>
        <w:rPr>
          <w:rFonts w:ascii="Times New Roman" w:hAnsi="Times New Roman" w:cs="Times New Roman"/>
          <w:color w:val="000000"/>
        </w:rPr>
      </w:pPr>
      <w:r>
        <w:rPr>
          <w:rFonts w:hint="eastAsia" w:ascii="Times New Roman" w:hAnsi="Times New Roman" w:cs="Times New Roman"/>
          <w:color w:val="000000"/>
          <w:lang w:val="en-US" w:eastAsia="zh-CN"/>
        </w:rPr>
        <w:t>6</w:t>
      </w:r>
      <w:r>
        <w:rPr>
          <w:rFonts w:ascii="Times New Roman" w:hAnsi="Times New Roman" w:cs="Times New Roman"/>
          <w:color w:val="000000"/>
        </w:rPr>
        <w:t>、对持证监测操作人员应制定计划定期开展培训，不断提高技术水平和业务能力。要求熟练掌握本岗位的采样</w:t>
      </w:r>
      <w:r>
        <w:rPr>
          <w:rFonts w:hint="eastAsia" w:ascii="Times New Roman" w:hAnsi="Times New Roman" w:cs="Times New Roman"/>
          <w:color w:val="000000"/>
          <w:lang w:val="en-US" w:eastAsia="zh-CN"/>
        </w:rPr>
        <w:t>和</w:t>
      </w:r>
      <w:r>
        <w:rPr>
          <w:rFonts w:ascii="Times New Roman" w:hAnsi="Times New Roman" w:cs="Times New Roman"/>
          <w:color w:val="000000"/>
        </w:rPr>
        <w:t>分析技术，保证监测数据的真实可靠。</w:t>
      </w:r>
    </w:p>
    <w:p>
      <w:pPr>
        <w:tabs>
          <w:tab w:val="left" w:pos="1900"/>
        </w:tabs>
        <w:spacing w:line="360" w:lineRule="auto"/>
        <w:ind w:firstLine="420" w:firstLineChars="200"/>
        <w:rPr>
          <w:rFonts w:ascii="Times New Roman" w:hAnsi="Times New Roman" w:cs="Times New Roman"/>
          <w:color w:val="000000"/>
        </w:rPr>
      </w:pPr>
      <w:r>
        <w:rPr>
          <w:rFonts w:hint="eastAsia" w:ascii="Times New Roman" w:hAnsi="Times New Roman" w:cs="Times New Roman"/>
          <w:color w:val="000000"/>
          <w:lang w:val="en-US" w:eastAsia="zh-CN"/>
        </w:rPr>
        <w:t>7</w:t>
      </w:r>
      <w:r>
        <w:rPr>
          <w:rFonts w:ascii="Times New Roman" w:hAnsi="Times New Roman" w:cs="Times New Roman"/>
          <w:color w:val="000000"/>
        </w:rPr>
        <w:t>、对于使用较大型、贵重精密仪器的分析人员，需通过内部考核并获得使用仪器的操作证。</w:t>
      </w:r>
    </w:p>
    <w:p>
      <w:pPr>
        <w:tabs>
          <w:tab w:val="left" w:pos="1900"/>
        </w:tabs>
        <w:spacing w:line="360" w:lineRule="auto"/>
        <w:ind w:firstLine="420" w:firstLineChars="200"/>
        <w:rPr>
          <w:rFonts w:ascii="Times New Roman" w:hAnsi="Times New Roman" w:cs="Times New Roman"/>
          <w:color w:val="000000"/>
        </w:rPr>
      </w:pPr>
      <w:r>
        <w:rPr>
          <w:rFonts w:hint="eastAsia" w:ascii="Times New Roman" w:hAnsi="Times New Roman" w:cs="Times New Roman"/>
          <w:color w:val="000000"/>
          <w:lang w:val="en-US" w:eastAsia="zh-CN"/>
        </w:rPr>
        <w:t>8</w:t>
      </w:r>
      <w:r>
        <w:rPr>
          <w:rFonts w:ascii="Times New Roman" w:hAnsi="Times New Roman" w:cs="Times New Roman"/>
          <w:color w:val="000000"/>
        </w:rPr>
        <w:t>、有健全的质量管理制度，接受</w:t>
      </w:r>
      <w:r>
        <w:rPr>
          <w:rFonts w:hint="eastAsia" w:ascii="Times New Roman" w:hAnsi="Times New Roman" w:cs="Times New Roman"/>
          <w:color w:val="000000"/>
          <w:lang w:eastAsia="zh-CN"/>
        </w:rPr>
        <w:t>并</w:t>
      </w:r>
      <w:r>
        <w:rPr>
          <w:rFonts w:ascii="Times New Roman" w:hAnsi="Times New Roman" w:cs="Times New Roman"/>
          <w:color w:val="000000"/>
        </w:rPr>
        <w:t>配合</w:t>
      </w:r>
      <w:r>
        <w:rPr>
          <w:rFonts w:ascii="Times New Roman" w:hAnsi="Times New Roman" w:cs="Times New Roman"/>
          <w:color w:val="000000"/>
          <w:highlight w:val="none"/>
        </w:rPr>
        <w:t>采购人</w:t>
      </w:r>
      <w:r>
        <w:rPr>
          <w:rFonts w:ascii="Times New Roman" w:hAnsi="Times New Roman" w:cs="Times New Roman"/>
          <w:color w:val="000000"/>
        </w:rPr>
        <w:t>以保证监测数据和监测报告质量为目的的监督、检查和管理工作。</w:t>
      </w:r>
    </w:p>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imes New Roman" w:hAnsi="Times New Roman" w:cs="Times New Roman"/>
          <w:color w:val="000000"/>
          <w:lang w:val="en-US" w:eastAsia="zh-CN"/>
        </w:rPr>
        <w:t xml:space="preserve">  </w:t>
      </w:r>
      <w:r>
        <w:rPr>
          <w:rFonts w:hint="eastAsia" w:asciiTheme="minorEastAsia" w:hAnsiTheme="minorEastAsia" w:eastAsiaTheme="minorEastAsia" w:cstheme="minorEastAsia"/>
          <w:color w:val="000000"/>
          <w:sz w:val="21"/>
          <w:szCs w:val="21"/>
          <w:lang w:val="en-US" w:eastAsia="zh-CN"/>
        </w:rPr>
        <w:t xml:space="preserve"> 9、</w:t>
      </w:r>
      <w:r>
        <w:rPr>
          <w:rFonts w:hint="eastAsia" w:asciiTheme="minorEastAsia" w:hAnsiTheme="minorEastAsia" w:eastAsiaTheme="minorEastAsia" w:cstheme="minorEastAsia"/>
          <w:color w:val="000000" w:themeColor="text1"/>
          <w:sz w:val="21"/>
          <w:szCs w:val="21"/>
          <w14:textFill>
            <w14:solidFill>
              <w14:schemeClr w14:val="tx1"/>
            </w14:solidFill>
          </w14:textFill>
        </w:rPr>
        <w:t>遵纪守法，近两年（机构成立少于两年的，自成立起计）未受到各级政府相关部门或认证认可机构等的处罚、通报批评。</w:t>
      </w:r>
    </w:p>
    <w:p>
      <w:pPr>
        <w:pStyle w:val="2"/>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p>
    <w:p>
      <w:pPr>
        <w:snapToGrid w:val="0"/>
        <w:spacing w:line="360" w:lineRule="auto"/>
        <w:ind w:left="105" w:hanging="105"/>
        <w:jc w:val="left"/>
        <w:outlineLvl w:val="1"/>
        <w:rPr>
          <w:rFonts w:ascii="Times New Roman" w:hAnsi="Times New Roman" w:cs="Times New Roman"/>
          <w:color w:val="000000"/>
        </w:rPr>
      </w:pPr>
      <w:r>
        <w:rPr>
          <w:rFonts w:ascii="Times New Roman" w:hAnsi="Times New Roman" w:cs="Times New Roman"/>
          <w:color w:val="000000"/>
        </w:rPr>
        <w:t>（二）设备和环境条件要求</w:t>
      </w:r>
    </w:p>
    <w:p>
      <w:pPr>
        <w:tabs>
          <w:tab w:val="left" w:pos="1900"/>
        </w:tabs>
        <w:spacing w:line="360" w:lineRule="auto"/>
        <w:ind w:firstLine="420" w:firstLineChars="200"/>
        <w:rPr>
          <w:rFonts w:ascii="Times New Roman" w:hAnsi="Times New Roman" w:cs="Times New Roman"/>
          <w:color w:val="000000"/>
        </w:rPr>
      </w:pPr>
      <w:r>
        <w:rPr>
          <w:rFonts w:ascii="Times New Roman" w:hAnsi="Times New Roman" w:cs="Times New Roman"/>
          <w:color w:val="000000"/>
        </w:rPr>
        <w:t>1、要求配备能满足采购人</w:t>
      </w:r>
      <w:r>
        <w:rPr>
          <w:rFonts w:ascii="Times New Roman" w:hAnsi="Times New Roman" w:cs="Times New Roman"/>
          <w:color w:val="auto"/>
          <w:highlight w:val="none"/>
        </w:rPr>
        <w:t>监测项目</w:t>
      </w:r>
      <w:r>
        <w:rPr>
          <w:rFonts w:ascii="Times New Roman" w:hAnsi="Times New Roman" w:cs="Times New Roman"/>
          <w:color w:val="000000"/>
        </w:rPr>
        <w:t>需要的仪器设备，提供设备图片和计量检定报告。仪器设备要建立完善的检定、期间核查、自校准、标识、使用、维护等管理制度并得到规范实施。</w:t>
      </w:r>
    </w:p>
    <w:p>
      <w:pPr>
        <w:tabs>
          <w:tab w:val="left" w:pos="1900"/>
        </w:tabs>
        <w:spacing w:line="360" w:lineRule="auto"/>
        <w:ind w:firstLine="420" w:firstLineChars="200"/>
        <w:rPr>
          <w:rFonts w:ascii="Times New Roman" w:hAnsi="Times New Roman" w:cs="Times New Roman"/>
          <w:color w:val="000000"/>
        </w:rPr>
      </w:pPr>
      <w:r>
        <w:rPr>
          <w:rFonts w:ascii="Times New Roman" w:hAnsi="Times New Roman" w:cs="Times New Roman"/>
          <w:color w:val="000000"/>
        </w:rPr>
        <w:t>2、实验室环境要求布局合理，有相应的安全和试剂管理制度。实验室的温度、湿度、防震、抗干扰、无菌室等环境条件要满足监测方法对环境条件的要求，满足保存样品和仪器设备正常运行的要求。</w:t>
      </w:r>
    </w:p>
    <w:p>
      <w:pPr>
        <w:snapToGrid w:val="0"/>
        <w:spacing w:line="360" w:lineRule="auto"/>
        <w:ind w:left="105" w:hanging="105"/>
        <w:jc w:val="left"/>
        <w:outlineLvl w:val="1"/>
        <w:rPr>
          <w:rFonts w:ascii="Times New Roman" w:hAnsi="Times New Roman" w:cs="Times New Roman"/>
          <w:color w:val="000000"/>
        </w:rPr>
      </w:pPr>
      <w:r>
        <w:rPr>
          <w:rFonts w:ascii="Times New Roman" w:hAnsi="Times New Roman" w:cs="Times New Roman"/>
          <w:color w:val="000000"/>
        </w:rPr>
        <w:t>（三）采样要求</w:t>
      </w:r>
    </w:p>
    <w:p>
      <w:pPr>
        <w:tabs>
          <w:tab w:val="left" w:pos="1900"/>
        </w:tabs>
        <w:spacing w:line="360" w:lineRule="auto"/>
        <w:ind w:firstLine="420" w:firstLineChars="200"/>
        <w:rPr>
          <w:rFonts w:ascii="Times New Roman" w:hAnsi="Times New Roman" w:cs="Times New Roman"/>
          <w:color w:val="000000"/>
        </w:rPr>
      </w:pPr>
      <w:r>
        <w:rPr>
          <w:rFonts w:ascii="Times New Roman" w:hAnsi="Times New Roman" w:cs="Times New Roman"/>
          <w:color w:val="000000"/>
        </w:rPr>
        <w:t>1、现场采样必须有2名以上持证人员参加。采样设备必须在检定有效期内使用，在使用前后应对仪器的技术状态进行检查和自校准，确保现场获得数据的有效性。</w:t>
      </w:r>
    </w:p>
    <w:p>
      <w:pPr>
        <w:tabs>
          <w:tab w:val="left" w:pos="1900"/>
        </w:tabs>
        <w:spacing w:line="360" w:lineRule="auto"/>
        <w:ind w:firstLine="420" w:firstLineChars="200"/>
        <w:rPr>
          <w:rFonts w:ascii="Times New Roman" w:hAnsi="Times New Roman" w:cs="Times New Roman"/>
          <w:color w:val="000000"/>
        </w:rPr>
      </w:pPr>
      <w:r>
        <w:rPr>
          <w:rFonts w:ascii="Times New Roman" w:hAnsi="Times New Roman" w:cs="Times New Roman"/>
          <w:color w:val="000000"/>
        </w:rPr>
        <w:t>2、样品采集应严格按照国家、行业或地方颁布的相关规范执行，确保采集到有代表性的样品。现场应齐全、准确地记录采样信息，并有采样人、现场复核人和受测单位陪同人签名确认。</w:t>
      </w:r>
    </w:p>
    <w:p>
      <w:pPr>
        <w:tabs>
          <w:tab w:val="left" w:pos="1900"/>
        </w:tabs>
        <w:spacing w:line="360" w:lineRule="auto"/>
        <w:ind w:firstLine="420" w:firstLineChars="200"/>
        <w:rPr>
          <w:rFonts w:ascii="Times New Roman" w:hAnsi="Times New Roman" w:cs="Times New Roman"/>
          <w:color w:val="000000"/>
        </w:rPr>
      </w:pPr>
      <w:r>
        <w:rPr>
          <w:rFonts w:ascii="Times New Roman" w:hAnsi="Times New Roman" w:cs="Times New Roman"/>
          <w:color w:val="000000"/>
        </w:rPr>
        <w:t>3、已采集的样品需按有关技术要求保存。需要低温保存的样品应采取相应的措施，在规定时间内送回实验室。</w:t>
      </w:r>
    </w:p>
    <w:p>
      <w:pPr>
        <w:tabs>
          <w:tab w:val="left" w:pos="1900"/>
        </w:tabs>
        <w:spacing w:line="360" w:lineRule="auto"/>
        <w:ind w:firstLine="420" w:firstLineChars="200"/>
        <w:rPr>
          <w:rFonts w:hint="default" w:ascii="Times New Roman" w:hAnsi="Times New Roman" w:eastAsia="宋体" w:cs="Times New Roman"/>
          <w:color w:val="000000"/>
          <w:highlight w:val="none"/>
          <w:lang w:val="en-US" w:eastAsia="zh-CN"/>
        </w:rPr>
      </w:pPr>
      <w:r>
        <w:rPr>
          <w:rFonts w:hint="eastAsia" w:ascii="Times New Roman" w:hAnsi="Times New Roman" w:cs="Times New Roman"/>
          <w:color w:val="000000"/>
          <w:highlight w:val="none"/>
          <w:lang w:val="en-US" w:eastAsia="zh-CN"/>
        </w:rPr>
        <w:t>4、受测单位采样口不符合采样规范时，成交供应商应现场提出指导意见，要求受测单位自行整改，并及时通知采购人。</w:t>
      </w:r>
    </w:p>
    <w:p>
      <w:pPr>
        <w:snapToGrid w:val="0"/>
        <w:spacing w:line="360" w:lineRule="auto"/>
        <w:ind w:left="105" w:hanging="105"/>
        <w:jc w:val="left"/>
        <w:outlineLvl w:val="1"/>
        <w:rPr>
          <w:rFonts w:ascii="Times New Roman" w:hAnsi="Times New Roman" w:cs="Times New Roman"/>
          <w:color w:val="000000"/>
        </w:rPr>
      </w:pPr>
      <w:r>
        <w:rPr>
          <w:rFonts w:ascii="Times New Roman" w:hAnsi="Times New Roman" w:cs="Times New Roman"/>
          <w:color w:val="000000"/>
        </w:rPr>
        <w:t>（四）检测及标准方法要求</w:t>
      </w:r>
    </w:p>
    <w:p>
      <w:pPr>
        <w:tabs>
          <w:tab w:val="left" w:pos="190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1、优先选择国家标准、行业标准和地方标准；当需要采用国际标准时，须向采购人说明并征得其同意。</w:t>
      </w:r>
    </w:p>
    <w:p>
      <w:pPr>
        <w:tabs>
          <w:tab w:val="left" w:pos="190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2、如相关采样和分析方法依据发生修订或变动，应确保采样和分析方法符合最新的国家和地方标准、规范。</w:t>
      </w:r>
    </w:p>
    <w:p>
      <w:pPr>
        <w:tabs>
          <w:tab w:val="left" w:pos="190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3、为严格规范对污染源单位的采样、分析过程，确保监测结果准确有效，要求成交供应商严格按照下表所列举的检测方法及标准对</w:t>
      </w:r>
      <w:r>
        <w:rPr>
          <w:rFonts w:hint="eastAsia" w:asciiTheme="minorEastAsia" w:hAnsiTheme="minorEastAsia" w:eastAsiaTheme="minorEastAsia" w:cstheme="minorEastAsia"/>
          <w:color w:val="auto"/>
          <w:sz w:val="21"/>
          <w:szCs w:val="21"/>
          <w:highlight w:val="none"/>
          <w:lang w:val="en-US" w:eastAsia="zh-CN"/>
        </w:rPr>
        <w:t>委托</w:t>
      </w:r>
      <w:r>
        <w:rPr>
          <w:rFonts w:hint="eastAsia" w:asciiTheme="minorEastAsia" w:hAnsiTheme="minorEastAsia" w:eastAsiaTheme="minorEastAsia" w:cstheme="minorEastAsia"/>
          <w:color w:val="auto"/>
          <w:sz w:val="21"/>
          <w:szCs w:val="21"/>
          <w:highlight w:val="none"/>
        </w:rPr>
        <w:t>监测项目进行监测。</w:t>
      </w:r>
    </w:p>
    <w:p>
      <w:pPr>
        <w:tabs>
          <w:tab w:val="left" w:pos="1900"/>
        </w:tabs>
        <w:spacing w:line="360" w:lineRule="auto"/>
        <w:ind w:firstLine="315" w:firstLineChars="150"/>
        <w:rPr>
          <w:rFonts w:ascii="Times New Roman" w:hAnsi="Times New Roman" w:cs="Times New Roman"/>
          <w:strike/>
          <w:color w:val="000000"/>
        </w:rPr>
      </w:pPr>
    </w:p>
    <w:p>
      <w:pPr>
        <w:tabs>
          <w:tab w:val="left" w:pos="1900"/>
        </w:tabs>
        <w:spacing w:line="360" w:lineRule="auto"/>
        <w:ind w:firstLine="315" w:firstLineChars="150"/>
        <w:rPr>
          <w:rFonts w:ascii="Times New Roman" w:hAnsi="Times New Roman" w:cs="Times New Roman"/>
          <w:strike/>
          <w:color w:val="000000"/>
        </w:rPr>
      </w:pPr>
    </w:p>
    <w:p>
      <w:pPr>
        <w:tabs>
          <w:tab w:val="left" w:pos="1900"/>
        </w:tabs>
        <w:spacing w:line="360" w:lineRule="auto"/>
        <w:rPr>
          <w:rFonts w:ascii="Times New Roman" w:hAnsi="Times New Roman" w:cs="Times New Roman"/>
          <w:strike/>
          <w:color w:val="000000"/>
        </w:rPr>
      </w:pPr>
    </w:p>
    <w:p>
      <w:pPr>
        <w:pStyle w:val="2"/>
        <w:rPr>
          <w:rFonts w:ascii="Times New Roman" w:hAnsi="Times New Roman" w:cs="Times New Roman"/>
          <w:strike/>
          <w:color w:val="000000"/>
        </w:rPr>
      </w:pPr>
    </w:p>
    <w:tbl>
      <w:tblPr>
        <w:tblStyle w:val="7"/>
        <w:tblW w:w="9060" w:type="dxa"/>
        <w:tblInd w:w="98" w:type="dxa"/>
        <w:shd w:val="clear" w:color="auto" w:fill="auto"/>
        <w:tblLayout w:type="autofit"/>
        <w:tblCellMar>
          <w:top w:w="0" w:type="dxa"/>
          <w:left w:w="108" w:type="dxa"/>
          <w:bottom w:w="0" w:type="dxa"/>
          <w:right w:w="108" w:type="dxa"/>
        </w:tblCellMar>
      </w:tblPr>
      <w:tblGrid>
        <w:gridCol w:w="440"/>
        <w:gridCol w:w="960"/>
        <w:gridCol w:w="1360"/>
        <w:gridCol w:w="6300"/>
      </w:tblGrid>
      <w:tr>
        <w:tblPrEx>
          <w:tblCellMar>
            <w:top w:w="0" w:type="dxa"/>
            <w:left w:w="108" w:type="dxa"/>
            <w:bottom w:w="0" w:type="dxa"/>
            <w:right w:w="108" w:type="dxa"/>
          </w:tblCellMar>
        </w:tblPrEx>
        <w:trPr>
          <w:trHeight w:val="680" w:hRule="atLeast"/>
        </w:trPr>
        <w:tc>
          <w:tcPr>
            <w:tcW w:w="440" w:type="dxa"/>
            <w:tcBorders>
              <w:top w:val="single" w:color="000000" w:sz="8" w:space="0"/>
              <w:left w:val="single" w:color="000000" w:sz="8" w:space="0"/>
              <w:bottom w:val="single" w:color="000000" w:sz="8" w:space="0"/>
              <w:right w:val="single" w:color="000000" w:sz="8" w:space="0"/>
            </w:tcBorders>
            <w:shd w:val="clear" w:color="auto" w:fill="E0E0E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序号</w:t>
            </w:r>
          </w:p>
        </w:tc>
        <w:tc>
          <w:tcPr>
            <w:tcW w:w="2320" w:type="dxa"/>
            <w:gridSpan w:val="2"/>
            <w:tcBorders>
              <w:top w:val="single" w:color="000000" w:sz="8" w:space="0"/>
              <w:left w:val="nil"/>
              <w:bottom w:val="single" w:color="000000" w:sz="8" w:space="0"/>
              <w:right w:val="single" w:color="000000" w:sz="8" w:space="0"/>
            </w:tcBorders>
            <w:shd w:val="clear" w:color="auto" w:fill="E0E0E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项目名称</w:t>
            </w:r>
          </w:p>
        </w:tc>
        <w:tc>
          <w:tcPr>
            <w:tcW w:w="6300" w:type="dxa"/>
            <w:tcBorders>
              <w:top w:val="single" w:color="000000" w:sz="8" w:space="0"/>
              <w:left w:val="nil"/>
              <w:bottom w:val="single" w:color="000000" w:sz="8" w:space="0"/>
              <w:right w:val="single" w:color="000000" w:sz="8" w:space="0"/>
            </w:tcBorders>
            <w:shd w:val="clear" w:color="auto" w:fill="E0E0E0"/>
            <w:vAlign w:val="center"/>
          </w:tcPr>
          <w:p>
            <w:pPr>
              <w:keepNext w:val="0"/>
              <w:keepLines w:val="0"/>
              <w:widowControl/>
              <w:suppressLineNumbers w:val="0"/>
              <w:ind w:firstLineChars="20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检测方法及标准编号</w:t>
            </w:r>
          </w:p>
        </w:tc>
      </w:tr>
      <w:tr>
        <w:tblPrEx>
          <w:shd w:val="clear" w:color="auto" w:fill="auto"/>
          <w:tblCellMar>
            <w:top w:w="0" w:type="dxa"/>
            <w:left w:w="108" w:type="dxa"/>
            <w:bottom w:w="0" w:type="dxa"/>
            <w:right w:w="108" w:type="dxa"/>
          </w:tblCellMar>
        </w:tblPrEx>
        <w:trPr>
          <w:trHeight w:val="400" w:hRule="atLeast"/>
        </w:trPr>
        <w:tc>
          <w:tcPr>
            <w:tcW w:w="4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232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pH</w:t>
            </w:r>
            <w:r>
              <w:rPr>
                <w:rFonts w:hint="eastAsia" w:ascii="宋体" w:hAnsi="宋体" w:eastAsia="宋体" w:cs="宋体"/>
                <w:i w:val="0"/>
                <w:iCs w:val="0"/>
                <w:color w:val="auto"/>
                <w:kern w:val="0"/>
                <w:sz w:val="21"/>
                <w:szCs w:val="21"/>
                <w:highlight w:val="none"/>
                <w:u w:val="none"/>
                <w:lang w:val="en-US" w:eastAsia="zh-CN" w:bidi="ar"/>
              </w:rPr>
              <w:t>值</w:t>
            </w:r>
          </w:p>
        </w:tc>
        <w:tc>
          <w:tcPr>
            <w:tcW w:w="63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水质 pH</w:t>
            </w:r>
            <w:r>
              <w:rPr>
                <w:rFonts w:hint="eastAsia" w:ascii="宋体" w:hAnsi="宋体" w:eastAsia="宋体" w:cs="宋体"/>
                <w:i w:val="0"/>
                <w:iCs w:val="0"/>
                <w:color w:val="auto"/>
                <w:kern w:val="0"/>
                <w:sz w:val="21"/>
                <w:szCs w:val="21"/>
                <w:highlight w:val="none"/>
                <w:u w:val="none"/>
                <w:lang w:val="en-US" w:eastAsia="zh-CN" w:bidi="ar"/>
              </w:rPr>
              <w:t xml:space="preserve">值的测定 电极法  </w:t>
            </w:r>
            <w:r>
              <w:rPr>
                <w:rFonts w:hint="default" w:ascii="Times New Roman" w:hAnsi="Times New Roman" w:eastAsia="宋体" w:cs="Times New Roman"/>
                <w:i w:val="0"/>
                <w:iCs w:val="0"/>
                <w:color w:val="auto"/>
                <w:kern w:val="0"/>
                <w:sz w:val="21"/>
                <w:szCs w:val="21"/>
                <w:highlight w:val="none"/>
                <w:u w:val="none"/>
                <w:lang w:val="en-US" w:eastAsia="zh-CN" w:bidi="ar"/>
              </w:rPr>
              <w:t>HJ 1147-2020</w:t>
            </w:r>
          </w:p>
        </w:tc>
      </w:tr>
      <w:tr>
        <w:tblPrEx>
          <w:shd w:val="clear" w:color="auto" w:fill="auto"/>
          <w:tblCellMar>
            <w:top w:w="0" w:type="dxa"/>
            <w:left w:w="108" w:type="dxa"/>
            <w:bottom w:w="0" w:type="dxa"/>
            <w:right w:w="108" w:type="dxa"/>
          </w:tblCellMar>
        </w:tblPrEx>
        <w:trPr>
          <w:trHeight w:val="400" w:hRule="atLeast"/>
        </w:trPr>
        <w:tc>
          <w:tcPr>
            <w:tcW w:w="440"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2320" w:type="dxa"/>
            <w:gridSpan w:val="2"/>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悬浮物</w:t>
            </w:r>
          </w:p>
        </w:tc>
        <w:tc>
          <w:tcPr>
            <w:tcW w:w="630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水质 悬浮物的测定 重量法GB/T11901-1989</w:t>
            </w:r>
          </w:p>
        </w:tc>
      </w:tr>
      <w:tr>
        <w:tblPrEx>
          <w:tblCellMar>
            <w:top w:w="0" w:type="dxa"/>
            <w:left w:w="108" w:type="dxa"/>
            <w:bottom w:w="0" w:type="dxa"/>
            <w:right w:w="108" w:type="dxa"/>
          </w:tblCellMar>
        </w:tblPrEx>
        <w:trPr>
          <w:trHeight w:val="320" w:hRule="atLeast"/>
        </w:trPr>
        <w:tc>
          <w:tcPr>
            <w:tcW w:w="440"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2320" w:type="dxa"/>
            <w:gridSpan w:val="2"/>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氨氮</w:t>
            </w:r>
          </w:p>
        </w:tc>
        <w:tc>
          <w:tcPr>
            <w:tcW w:w="63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水质 氨氮的测定 纳氏试剂分光光度法 HJ 535-2009</w:t>
            </w:r>
          </w:p>
        </w:tc>
      </w:tr>
      <w:tr>
        <w:tblPrEx>
          <w:tblCellMar>
            <w:top w:w="0" w:type="dxa"/>
            <w:left w:w="108" w:type="dxa"/>
            <w:bottom w:w="0" w:type="dxa"/>
            <w:right w:w="108" w:type="dxa"/>
          </w:tblCellMar>
        </w:tblPrEx>
        <w:trPr>
          <w:trHeight w:val="300" w:hRule="atLeast"/>
        </w:trPr>
        <w:tc>
          <w:tcPr>
            <w:tcW w:w="44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2320" w:type="dxa"/>
            <w:gridSpan w:val="2"/>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630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水质 氨氮的测定 流动注射-</w:t>
            </w:r>
            <w:r>
              <w:rPr>
                <w:rFonts w:hint="eastAsia" w:ascii="宋体" w:hAnsi="宋体" w:eastAsia="宋体" w:cs="宋体"/>
                <w:i w:val="0"/>
                <w:iCs w:val="0"/>
                <w:color w:val="auto"/>
                <w:kern w:val="0"/>
                <w:sz w:val="21"/>
                <w:szCs w:val="21"/>
                <w:highlight w:val="none"/>
                <w:u w:val="none"/>
                <w:lang w:val="en-US" w:eastAsia="zh-CN" w:bidi="ar"/>
              </w:rPr>
              <w:t>水杨酸分光光度法</w:t>
            </w:r>
            <w:r>
              <w:rPr>
                <w:rFonts w:hint="eastAsia" w:ascii="宋体" w:hAnsi="宋体" w:cs="宋体"/>
                <w:i w:val="0"/>
                <w:iCs w:val="0"/>
                <w:color w:val="auto"/>
                <w:kern w:val="0"/>
                <w:sz w:val="21"/>
                <w:szCs w:val="21"/>
                <w:highlight w:val="none"/>
                <w:u w:val="none"/>
                <w:lang w:val="en-US" w:eastAsia="zh-CN" w:bidi="ar"/>
              </w:rPr>
              <w:t xml:space="preserve"> </w:t>
            </w:r>
            <w:r>
              <w:rPr>
                <w:rFonts w:hint="default" w:ascii="Times New Roman" w:hAnsi="Times New Roman" w:eastAsia="宋体" w:cs="Times New Roman"/>
                <w:i w:val="0"/>
                <w:iCs w:val="0"/>
                <w:color w:val="auto"/>
                <w:kern w:val="0"/>
                <w:sz w:val="21"/>
                <w:szCs w:val="21"/>
                <w:highlight w:val="none"/>
                <w:u w:val="none"/>
                <w:lang w:val="en-US" w:eastAsia="zh-CN" w:bidi="ar"/>
              </w:rPr>
              <w:t>HJ 666-2013</w:t>
            </w:r>
          </w:p>
        </w:tc>
      </w:tr>
      <w:tr>
        <w:tblPrEx>
          <w:shd w:val="clear" w:color="auto" w:fill="auto"/>
          <w:tblCellMar>
            <w:top w:w="0" w:type="dxa"/>
            <w:left w:w="108" w:type="dxa"/>
            <w:bottom w:w="0" w:type="dxa"/>
            <w:right w:w="108" w:type="dxa"/>
          </w:tblCellMar>
        </w:tblPrEx>
        <w:trPr>
          <w:trHeight w:val="320" w:hRule="atLeast"/>
        </w:trPr>
        <w:tc>
          <w:tcPr>
            <w:tcW w:w="440"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2320" w:type="dxa"/>
            <w:gridSpan w:val="2"/>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化学需氧量</w:t>
            </w:r>
          </w:p>
        </w:tc>
        <w:tc>
          <w:tcPr>
            <w:tcW w:w="63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水质 化学需氧量的测定 重铬酸盐法 HJ 828—2017</w:t>
            </w:r>
          </w:p>
        </w:tc>
      </w:tr>
      <w:tr>
        <w:tblPrEx>
          <w:tblCellMar>
            <w:top w:w="0" w:type="dxa"/>
            <w:left w:w="108" w:type="dxa"/>
            <w:bottom w:w="0" w:type="dxa"/>
            <w:right w:w="108" w:type="dxa"/>
          </w:tblCellMar>
        </w:tblPrEx>
        <w:trPr>
          <w:trHeight w:val="560" w:hRule="atLeast"/>
        </w:trPr>
        <w:tc>
          <w:tcPr>
            <w:tcW w:w="44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2320" w:type="dxa"/>
            <w:gridSpan w:val="2"/>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630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快速密闭催化消解法 水和废水监测分析方法（第四版）（增补版） 国家环保总局（2002</w:t>
            </w:r>
            <w:r>
              <w:rPr>
                <w:rFonts w:hint="eastAsia" w:ascii="宋体" w:hAnsi="宋体" w:eastAsia="宋体" w:cs="宋体"/>
                <w:i w:val="0"/>
                <w:iCs w:val="0"/>
                <w:color w:val="auto"/>
                <w:kern w:val="0"/>
                <w:sz w:val="21"/>
                <w:szCs w:val="21"/>
                <w:highlight w:val="none"/>
                <w:u w:val="none"/>
                <w:lang w:val="en-US" w:eastAsia="zh-CN" w:bidi="ar"/>
              </w:rPr>
              <w:t>年）</w:t>
            </w:r>
          </w:p>
        </w:tc>
      </w:tr>
      <w:tr>
        <w:tblPrEx>
          <w:tblCellMar>
            <w:top w:w="0" w:type="dxa"/>
            <w:left w:w="108" w:type="dxa"/>
            <w:bottom w:w="0" w:type="dxa"/>
            <w:right w:w="108" w:type="dxa"/>
          </w:tblCellMar>
        </w:tblPrEx>
        <w:trPr>
          <w:trHeight w:val="340" w:hRule="atLeast"/>
        </w:trPr>
        <w:tc>
          <w:tcPr>
            <w:tcW w:w="440"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2320" w:type="dxa"/>
            <w:gridSpan w:val="2"/>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总磷</w:t>
            </w:r>
          </w:p>
        </w:tc>
        <w:tc>
          <w:tcPr>
            <w:tcW w:w="63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水质 总磷的测定 钼酸铵分光光度法</w:t>
            </w:r>
            <w:r>
              <w:rPr>
                <w:rFonts w:hint="eastAsia" w:ascii="Times New Roman" w:hAnsi="Times New Roman" w:cs="Times New Roman"/>
                <w:i w:val="0"/>
                <w:iCs w:val="0"/>
                <w:color w:val="auto"/>
                <w:kern w:val="0"/>
                <w:sz w:val="21"/>
                <w:szCs w:val="21"/>
                <w:highlight w:val="none"/>
                <w:u w:val="none"/>
                <w:lang w:val="en-US" w:eastAsia="zh-CN" w:bidi="ar"/>
              </w:rPr>
              <w:t xml:space="preserve"> </w:t>
            </w:r>
            <w:r>
              <w:rPr>
                <w:rFonts w:hint="default" w:ascii="Times New Roman" w:hAnsi="Times New Roman" w:eastAsia="宋体" w:cs="Times New Roman"/>
                <w:i w:val="0"/>
                <w:iCs w:val="0"/>
                <w:color w:val="auto"/>
                <w:kern w:val="0"/>
                <w:sz w:val="21"/>
                <w:szCs w:val="21"/>
                <w:highlight w:val="none"/>
                <w:u w:val="none"/>
                <w:lang w:val="en-US" w:eastAsia="zh-CN" w:bidi="ar"/>
              </w:rPr>
              <w:t>GB/T11893-1989</w:t>
            </w:r>
          </w:p>
        </w:tc>
      </w:tr>
      <w:tr>
        <w:tblPrEx>
          <w:tblCellMar>
            <w:top w:w="0" w:type="dxa"/>
            <w:left w:w="108" w:type="dxa"/>
            <w:bottom w:w="0" w:type="dxa"/>
            <w:right w:w="108" w:type="dxa"/>
          </w:tblCellMar>
        </w:tblPrEx>
        <w:trPr>
          <w:trHeight w:val="340" w:hRule="atLeast"/>
        </w:trPr>
        <w:tc>
          <w:tcPr>
            <w:tcW w:w="440"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2320" w:type="dxa"/>
            <w:gridSpan w:val="2"/>
            <w:vMerge w:val="continue"/>
            <w:tcBorders>
              <w:top w:val="single" w:color="auto" w:sz="4"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630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 水质 总磷的测定 流动注射-</w:t>
            </w:r>
            <w:r>
              <w:rPr>
                <w:rFonts w:hint="eastAsia" w:ascii="宋体" w:hAnsi="宋体" w:eastAsia="宋体" w:cs="宋体"/>
                <w:i w:val="0"/>
                <w:iCs w:val="0"/>
                <w:color w:val="auto"/>
                <w:kern w:val="0"/>
                <w:sz w:val="21"/>
                <w:szCs w:val="21"/>
                <w:highlight w:val="none"/>
                <w:u w:val="none"/>
                <w:lang w:val="en-US" w:eastAsia="zh-CN" w:bidi="ar"/>
              </w:rPr>
              <w:t>钼酸铵分光光度法</w:t>
            </w:r>
            <w:r>
              <w:rPr>
                <w:rFonts w:hint="eastAsia" w:ascii="宋体" w:hAnsi="宋体" w:cs="宋体"/>
                <w:i w:val="0"/>
                <w:iCs w:val="0"/>
                <w:color w:val="auto"/>
                <w:kern w:val="0"/>
                <w:sz w:val="21"/>
                <w:szCs w:val="21"/>
                <w:highlight w:val="none"/>
                <w:u w:val="none"/>
                <w:lang w:val="en-US" w:eastAsia="zh-CN" w:bidi="ar"/>
              </w:rPr>
              <w:t xml:space="preserve"> </w:t>
            </w:r>
            <w:r>
              <w:rPr>
                <w:rFonts w:hint="default" w:ascii="Times New Roman" w:hAnsi="Times New Roman" w:eastAsia="宋体" w:cs="Times New Roman"/>
                <w:i w:val="0"/>
                <w:iCs w:val="0"/>
                <w:color w:val="auto"/>
                <w:kern w:val="0"/>
                <w:sz w:val="21"/>
                <w:szCs w:val="21"/>
                <w:highlight w:val="none"/>
                <w:u w:val="none"/>
                <w:lang w:val="en-US" w:eastAsia="zh-CN" w:bidi="ar"/>
              </w:rPr>
              <w:t>HJ 671-2013</w:t>
            </w:r>
          </w:p>
        </w:tc>
      </w:tr>
      <w:tr>
        <w:tblPrEx>
          <w:tblCellMar>
            <w:top w:w="0" w:type="dxa"/>
            <w:left w:w="108" w:type="dxa"/>
            <w:bottom w:w="0" w:type="dxa"/>
            <w:right w:w="108" w:type="dxa"/>
          </w:tblCellMar>
        </w:tblPrEx>
        <w:trPr>
          <w:trHeight w:val="340" w:hRule="atLeast"/>
        </w:trPr>
        <w:tc>
          <w:tcPr>
            <w:tcW w:w="440"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2320" w:type="dxa"/>
            <w:gridSpan w:val="2"/>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动植物油</w:t>
            </w:r>
          </w:p>
        </w:tc>
        <w:tc>
          <w:tcPr>
            <w:tcW w:w="630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水质 石油类和动植物油类的测定 红外分光光度法</w:t>
            </w:r>
            <w:r>
              <w:rPr>
                <w:rFonts w:hint="eastAsia" w:ascii="Times New Roman" w:hAnsi="Times New Roman" w:cs="Times New Roman"/>
                <w:i w:val="0"/>
                <w:iCs w:val="0"/>
                <w:color w:val="auto"/>
                <w:kern w:val="0"/>
                <w:sz w:val="21"/>
                <w:szCs w:val="21"/>
                <w:highlight w:val="none"/>
                <w:u w:val="none"/>
                <w:lang w:val="en-US" w:eastAsia="zh-CN" w:bidi="ar"/>
              </w:rPr>
              <w:t xml:space="preserve"> </w:t>
            </w:r>
            <w:r>
              <w:rPr>
                <w:rFonts w:hint="default" w:ascii="Times New Roman" w:hAnsi="Times New Roman" w:eastAsia="宋体" w:cs="Times New Roman"/>
                <w:i w:val="0"/>
                <w:iCs w:val="0"/>
                <w:color w:val="auto"/>
                <w:kern w:val="0"/>
                <w:sz w:val="21"/>
                <w:szCs w:val="21"/>
                <w:highlight w:val="none"/>
                <w:u w:val="none"/>
                <w:lang w:val="en-US" w:eastAsia="zh-CN" w:bidi="ar"/>
              </w:rPr>
              <w:t>HJ 637-2018</w:t>
            </w:r>
          </w:p>
        </w:tc>
      </w:tr>
      <w:tr>
        <w:tblPrEx>
          <w:shd w:val="clear" w:color="auto" w:fill="auto"/>
          <w:tblCellMar>
            <w:top w:w="0" w:type="dxa"/>
            <w:left w:w="108" w:type="dxa"/>
            <w:bottom w:w="0" w:type="dxa"/>
            <w:right w:w="108" w:type="dxa"/>
          </w:tblCellMar>
        </w:tblPrEx>
        <w:trPr>
          <w:trHeight w:val="320" w:hRule="atLeast"/>
        </w:trPr>
        <w:tc>
          <w:tcPr>
            <w:tcW w:w="440"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7</w:t>
            </w:r>
          </w:p>
        </w:tc>
        <w:tc>
          <w:tcPr>
            <w:tcW w:w="2320" w:type="dxa"/>
            <w:gridSpan w:val="2"/>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石油类</w:t>
            </w:r>
          </w:p>
        </w:tc>
        <w:tc>
          <w:tcPr>
            <w:tcW w:w="63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水质 石油类和动植物油类的测定 红外分光光度法</w:t>
            </w:r>
            <w:r>
              <w:rPr>
                <w:rFonts w:hint="eastAsia" w:ascii="Times New Roman" w:hAnsi="Times New Roman" w:cs="Times New Roman"/>
                <w:i w:val="0"/>
                <w:iCs w:val="0"/>
                <w:color w:val="auto"/>
                <w:kern w:val="0"/>
                <w:sz w:val="21"/>
                <w:szCs w:val="21"/>
                <w:highlight w:val="none"/>
                <w:u w:val="none"/>
                <w:lang w:val="en-US" w:eastAsia="zh-CN" w:bidi="ar"/>
              </w:rPr>
              <w:t xml:space="preserve"> </w:t>
            </w:r>
            <w:r>
              <w:rPr>
                <w:rFonts w:hint="default" w:ascii="Times New Roman" w:hAnsi="Times New Roman" w:eastAsia="宋体" w:cs="Times New Roman"/>
                <w:i w:val="0"/>
                <w:iCs w:val="0"/>
                <w:color w:val="auto"/>
                <w:kern w:val="0"/>
                <w:sz w:val="21"/>
                <w:szCs w:val="21"/>
                <w:highlight w:val="none"/>
                <w:u w:val="none"/>
                <w:lang w:val="en-US" w:eastAsia="zh-CN" w:bidi="ar"/>
              </w:rPr>
              <w:t>HJ 637-2018</w:t>
            </w:r>
          </w:p>
        </w:tc>
      </w:tr>
      <w:tr>
        <w:tblPrEx>
          <w:tblCellMar>
            <w:top w:w="0" w:type="dxa"/>
            <w:left w:w="108" w:type="dxa"/>
            <w:bottom w:w="0" w:type="dxa"/>
            <w:right w:w="108" w:type="dxa"/>
          </w:tblCellMar>
        </w:tblPrEx>
        <w:trPr>
          <w:trHeight w:val="286" w:hRule="atLeast"/>
        </w:trPr>
        <w:tc>
          <w:tcPr>
            <w:tcW w:w="440"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8</w:t>
            </w:r>
          </w:p>
        </w:tc>
        <w:tc>
          <w:tcPr>
            <w:tcW w:w="2320" w:type="dxa"/>
            <w:gridSpan w:val="2"/>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粪大肠菌群</w:t>
            </w:r>
          </w:p>
        </w:tc>
        <w:tc>
          <w:tcPr>
            <w:tcW w:w="63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水质 总大肠菌群和粪大肠菌群的测定 纸片快速法HJ 755-2015</w:t>
            </w:r>
          </w:p>
        </w:tc>
      </w:tr>
      <w:tr>
        <w:tblPrEx>
          <w:tblCellMar>
            <w:top w:w="0" w:type="dxa"/>
            <w:left w:w="108" w:type="dxa"/>
            <w:bottom w:w="0" w:type="dxa"/>
            <w:right w:w="108" w:type="dxa"/>
          </w:tblCellMar>
        </w:tblPrEx>
        <w:trPr>
          <w:trHeight w:val="348" w:hRule="atLeast"/>
        </w:trPr>
        <w:tc>
          <w:tcPr>
            <w:tcW w:w="440" w:type="dxa"/>
            <w:vMerge w:val="continue"/>
            <w:tcBorders>
              <w:left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cs="Times New Roman"/>
                <w:i w:val="0"/>
                <w:iCs w:val="0"/>
                <w:color w:val="auto"/>
                <w:sz w:val="21"/>
                <w:szCs w:val="21"/>
                <w:highlight w:val="none"/>
                <w:u w:val="none"/>
                <w:lang w:val="en-US" w:eastAsia="zh-CN"/>
              </w:rPr>
            </w:pPr>
          </w:p>
        </w:tc>
        <w:tc>
          <w:tcPr>
            <w:tcW w:w="2320" w:type="dxa"/>
            <w:gridSpan w:val="2"/>
            <w:vMerge w:val="continue"/>
            <w:tcBorders>
              <w:left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63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水质 粪大肠菌群的测定 滤膜法</w:t>
            </w:r>
            <w:r>
              <w:rPr>
                <w:rFonts w:hint="eastAsia" w:ascii="Times New Roman" w:hAnsi="Times New Roman" w:cs="Times New Roman"/>
                <w:i w:val="0"/>
                <w:iCs w:val="0"/>
                <w:color w:val="auto"/>
                <w:kern w:val="0"/>
                <w:sz w:val="21"/>
                <w:szCs w:val="21"/>
                <w:highlight w:val="none"/>
                <w:u w:val="none"/>
                <w:lang w:val="en-US" w:eastAsia="zh-CN" w:bidi="ar"/>
              </w:rPr>
              <w:t xml:space="preserve">  </w:t>
            </w:r>
            <w:r>
              <w:rPr>
                <w:rFonts w:hint="default" w:ascii="Times New Roman" w:hAnsi="Times New Roman" w:eastAsia="宋体" w:cs="Times New Roman"/>
                <w:i w:val="0"/>
                <w:iCs w:val="0"/>
                <w:color w:val="auto"/>
                <w:kern w:val="0"/>
                <w:sz w:val="21"/>
                <w:szCs w:val="21"/>
                <w:highlight w:val="none"/>
                <w:u w:val="none"/>
                <w:lang w:val="en-US" w:eastAsia="zh-CN" w:bidi="ar"/>
              </w:rPr>
              <w:t>HJ 347.1-2018</w:t>
            </w:r>
          </w:p>
        </w:tc>
      </w:tr>
      <w:tr>
        <w:tblPrEx>
          <w:tblCellMar>
            <w:top w:w="0" w:type="dxa"/>
            <w:left w:w="108" w:type="dxa"/>
            <w:bottom w:w="0" w:type="dxa"/>
            <w:right w:w="108" w:type="dxa"/>
          </w:tblCellMar>
        </w:tblPrEx>
        <w:trPr>
          <w:trHeight w:val="260" w:hRule="atLeast"/>
        </w:trPr>
        <w:tc>
          <w:tcPr>
            <w:tcW w:w="44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2320" w:type="dxa"/>
            <w:gridSpan w:val="2"/>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63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水质 粪大肠菌群的测定 多管发酵法</w:t>
            </w:r>
            <w:r>
              <w:rPr>
                <w:rFonts w:hint="eastAsia" w:ascii="Times New Roman" w:hAnsi="Times New Roman" w:cs="Times New Roman"/>
                <w:i w:val="0"/>
                <w:iCs w:val="0"/>
                <w:color w:val="auto"/>
                <w:kern w:val="0"/>
                <w:sz w:val="21"/>
                <w:szCs w:val="21"/>
                <w:highlight w:val="none"/>
                <w:u w:val="none"/>
                <w:lang w:val="en-US" w:eastAsia="zh-CN" w:bidi="ar"/>
              </w:rPr>
              <w:t xml:space="preserve"> </w:t>
            </w:r>
            <w:r>
              <w:rPr>
                <w:rFonts w:hint="default" w:ascii="Times New Roman" w:hAnsi="Times New Roman" w:eastAsia="宋体" w:cs="Times New Roman"/>
                <w:i w:val="0"/>
                <w:iCs w:val="0"/>
                <w:color w:val="auto"/>
                <w:kern w:val="0"/>
                <w:sz w:val="21"/>
                <w:szCs w:val="21"/>
                <w:highlight w:val="none"/>
                <w:u w:val="none"/>
                <w:lang w:val="en-US" w:eastAsia="zh-CN" w:bidi="ar"/>
              </w:rPr>
              <w:t>HJ 347.2-2018</w:t>
            </w:r>
          </w:p>
        </w:tc>
      </w:tr>
      <w:tr>
        <w:tblPrEx>
          <w:shd w:val="clear" w:color="auto" w:fill="auto"/>
          <w:tblCellMar>
            <w:top w:w="0" w:type="dxa"/>
            <w:left w:w="108" w:type="dxa"/>
            <w:bottom w:w="0" w:type="dxa"/>
            <w:right w:w="108" w:type="dxa"/>
          </w:tblCellMar>
        </w:tblPrEx>
        <w:trPr>
          <w:trHeight w:val="295" w:hRule="atLeast"/>
        </w:trPr>
        <w:tc>
          <w:tcPr>
            <w:tcW w:w="440"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2320" w:type="dxa"/>
            <w:gridSpan w:val="2"/>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630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《医疗机构水污染物排放标准》（GB 18466—2005）附录A 医疗机构污水和污泥中粪大肠菌群的检验方法</w:t>
            </w:r>
          </w:p>
        </w:tc>
      </w:tr>
      <w:tr>
        <w:tblPrEx>
          <w:shd w:val="clear" w:color="auto" w:fill="auto"/>
          <w:tblCellMar>
            <w:top w:w="0" w:type="dxa"/>
            <w:left w:w="108" w:type="dxa"/>
            <w:bottom w:w="0" w:type="dxa"/>
            <w:right w:w="108" w:type="dxa"/>
          </w:tblCellMar>
        </w:tblPrEx>
        <w:trPr>
          <w:trHeight w:val="340" w:hRule="atLeast"/>
        </w:trPr>
        <w:tc>
          <w:tcPr>
            <w:tcW w:w="4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9</w:t>
            </w:r>
          </w:p>
        </w:tc>
        <w:tc>
          <w:tcPr>
            <w:tcW w:w="2320" w:type="dxa"/>
            <w:gridSpan w:val="2"/>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恶臭气体(</w:t>
            </w:r>
            <w:r>
              <w:rPr>
                <w:rFonts w:hint="eastAsia" w:ascii="宋体" w:hAnsi="宋体" w:eastAsia="宋体" w:cs="宋体"/>
                <w:i w:val="0"/>
                <w:iCs w:val="0"/>
                <w:color w:val="auto"/>
                <w:kern w:val="0"/>
                <w:sz w:val="21"/>
                <w:szCs w:val="21"/>
                <w:highlight w:val="none"/>
                <w:u w:val="none"/>
                <w:lang w:val="en-US" w:eastAsia="zh-CN" w:bidi="ar"/>
              </w:rPr>
              <w:t>臭气浓度</w:t>
            </w: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63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ind w:firstLineChars="200"/>
              <w:jc w:val="center"/>
              <w:textAlignment w:val="center"/>
              <w:rPr>
                <w:rFonts w:hint="eastAsia" w:ascii="Times New Roman" w:hAnsi="Times New Roman"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环境</w:t>
            </w:r>
            <w:r>
              <w:rPr>
                <w:rFonts w:hint="default" w:ascii="Times New Roman" w:hAnsi="Times New Roman" w:eastAsia="宋体" w:cs="Times New Roman"/>
                <w:i w:val="0"/>
                <w:iCs w:val="0"/>
                <w:color w:val="auto"/>
                <w:kern w:val="0"/>
                <w:sz w:val="21"/>
                <w:szCs w:val="21"/>
                <w:highlight w:val="none"/>
                <w:u w:val="none"/>
                <w:lang w:val="en-US" w:eastAsia="zh-CN" w:bidi="ar"/>
              </w:rPr>
              <w:t>空气</w:t>
            </w:r>
            <w:r>
              <w:rPr>
                <w:rFonts w:hint="eastAsia" w:ascii="Times New Roman" w:hAnsi="Times New Roman" w:cs="Times New Roman"/>
                <w:i w:val="0"/>
                <w:iCs w:val="0"/>
                <w:color w:val="auto"/>
                <w:kern w:val="0"/>
                <w:sz w:val="21"/>
                <w:szCs w:val="21"/>
                <w:highlight w:val="none"/>
                <w:u w:val="none"/>
                <w:lang w:val="en-US" w:eastAsia="zh-CN" w:bidi="ar"/>
              </w:rPr>
              <w:t>和废气</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臭</w:t>
            </w:r>
            <w:r>
              <w:rPr>
                <w:rFonts w:hint="eastAsia" w:ascii="Times New Roman" w:hAnsi="Times New Roman" w:cs="Times New Roman"/>
                <w:i w:val="0"/>
                <w:iCs w:val="0"/>
                <w:color w:val="auto"/>
                <w:kern w:val="0"/>
                <w:sz w:val="21"/>
                <w:szCs w:val="21"/>
                <w:highlight w:val="none"/>
                <w:u w:val="none"/>
                <w:lang w:val="en-US" w:eastAsia="zh-CN" w:bidi="ar"/>
              </w:rPr>
              <w:t>气</w:t>
            </w:r>
            <w:r>
              <w:rPr>
                <w:rFonts w:hint="default" w:ascii="Times New Roman" w:hAnsi="Times New Roman" w:eastAsia="宋体" w:cs="Times New Roman"/>
                <w:i w:val="0"/>
                <w:iCs w:val="0"/>
                <w:color w:val="auto"/>
                <w:kern w:val="0"/>
                <w:sz w:val="21"/>
                <w:szCs w:val="21"/>
                <w:highlight w:val="none"/>
                <w:u w:val="none"/>
                <w:lang w:val="en-US" w:eastAsia="zh-CN" w:bidi="ar"/>
              </w:rPr>
              <w:t>的测定 三点比较式臭袋法</w:t>
            </w:r>
            <w:r>
              <w:rPr>
                <w:rFonts w:hint="eastAsia" w:ascii="Times New Roman" w:hAnsi="Times New Roman" w:cs="Times New Roman"/>
                <w:i w:val="0"/>
                <w:iCs w:val="0"/>
                <w:color w:val="auto"/>
                <w:kern w:val="0"/>
                <w:sz w:val="21"/>
                <w:szCs w:val="21"/>
                <w:highlight w:val="none"/>
                <w:u w:val="none"/>
                <w:lang w:val="en-US" w:eastAsia="zh-CN" w:bidi="ar"/>
              </w:rPr>
              <w:t xml:space="preserve">          HJ 1262---2022</w:t>
            </w:r>
          </w:p>
        </w:tc>
      </w:tr>
      <w:tr>
        <w:tblPrEx>
          <w:shd w:val="clear" w:color="auto" w:fill="auto"/>
          <w:tblCellMar>
            <w:top w:w="0" w:type="dxa"/>
            <w:left w:w="108" w:type="dxa"/>
            <w:bottom w:w="0" w:type="dxa"/>
            <w:right w:w="108" w:type="dxa"/>
          </w:tblCellMar>
        </w:tblPrEx>
        <w:trPr>
          <w:trHeight w:val="340" w:hRule="atLeast"/>
        </w:trPr>
        <w:tc>
          <w:tcPr>
            <w:tcW w:w="4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10</w:t>
            </w:r>
          </w:p>
        </w:tc>
        <w:tc>
          <w:tcPr>
            <w:tcW w:w="2320" w:type="dxa"/>
            <w:gridSpan w:val="2"/>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废气（</w:t>
            </w:r>
            <w:r>
              <w:rPr>
                <w:rStyle w:val="12"/>
                <w:rFonts w:hint="eastAsia" w:asciiTheme="minorEastAsia" w:hAnsiTheme="minorEastAsia" w:eastAsiaTheme="minorEastAsia" w:cstheme="minorEastAsia"/>
                <w:color w:val="auto"/>
                <w:sz w:val="21"/>
                <w:szCs w:val="21"/>
                <w:highlight w:val="none"/>
                <w:lang w:bidi="ar"/>
              </w:rPr>
              <w:t>非甲烷总烃</w:t>
            </w:r>
            <w:r>
              <w:rPr>
                <w:rFonts w:hint="eastAsia" w:asciiTheme="minorEastAsia" w:hAnsiTheme="minorEastAsia" w:eastAsiaTheme="minorEastAsia" w:cstheme="minorEastAsia"/>
                <w:color w:val="auto"/>
                <w:sz w:val="21"/>
                <w:szCs w:val="21"/>
                <w:highlight w:val="none"/>
                <w:lang w:val="en-US" w:eastAsia="zh-CN"/>
              </w:rPr>
              <w:t>）</w:t>
            </w:r>
          </w:p>
        </w:tc>
        <w:tc>
          <w:tcPr>
            <w:tcW w:w="630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textAlignment w:val="center"/>
              <w:rPr>
                <w:rFonts w:hint="eastAsia"/>
                <w:color w:val="auto"/>
                <w:sz w:val="21"/>
                <w:szCs w:val="21"/>
                <w:highlight w:val="none"/>
                <w:lang w:val="en-US" w:eastAsia="zh-CN"/>
              </w:rPr>
            </w:pPr>
            <w:r>
              <w:rPr>
                <w:rFonts w:hint="eastAsia" w:ascii="Times New Roman" w:hAnsi="Times New Roman" w:cs="Times New Roman"/>
                <w:i w:val="0"/>
                <w:iCs w:val="0"/>
                <w:color w:val="auto"/>
                <w:kern w:val="0"/>
                <w:sz w:val="21"/>
                <w:szCs w:val="21"/>
                <w:highlight w:val="none"/>
                <w:u w:val="none"/>
                <w:lang w:val="en-US" w:eastAsia="zh-CN" w:bidi="ar"/>
              </w:rPr>
              <w:t>环境空气 总烃、甲烷和非</w:t>
            </w:r>
            <w:r>
              <w:rPr>
                <w:rFonts w:hint="eastAsia" w:ascii="宋体" w:hAnsi="宋体" w:eastAsia="宋体" w:cs="宋体"/>
                <w:color w:val="auto"/>
                <w:kern w:val="0"/>
                <w:sz w:val="21"/>
                <w:szCs w:val="21"/>
                <w:highlight w:val="none"/>
                <w:lang w:val="en-US" w:eastAsia="zh-CN" w:bidi="ar"/>
              </w:rPr>
              <w:t xml:space="preserve">甲烷总烃的测定 </w:t>
            </w:r>
          </w:p>
          <w:p>
            <w:pPr>
              <w:keepNext w:val="0"/>
              <w:keepLines w:val="0"/>
              <w:widowControl/>
              <w:suppressLineNumbers w:val="0"/>
              <w:ind w:firstLineChars="200"/>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eastAsia" w:ascii="宋体" w:hAnsi="宋体" w:cs="宋体"/>
                <w:color w:val="auto"/>
                <w:kern w:val="0"/>
                <w:sz w:val="21"/>
                <w:szCs w:val="21"/>
                <w:highlight w:val="none"/>
                <w:lang w:val="en-US" w:eastAsia="zh-CN" w:bidi="ar"/>
              </w:rPr>
              <w:t>HJ 604-2017</w:t>
            </w:r>
          </w:p>
        </w:tc>
      </w:tr>
      <w:tr>
        <w:tblPrEx>
          <w:tblCellMar>
            <w:top w:w="0" w:type="dxa"/>
            <w:left w:w="108" w:type="dxa"/>
            <w:bottom w:w="0" w:type="dxa"/>
            <w:right w:w="108" w:type="dxa"/>
          </w:tblCellMar>
        </w:tblPrEx>
        <w:trPr>
          <w:trHeight w:val="340" w:hRule="atLeast"/>
        </w:trPr>
        <w:tc>
          <w:tcPr>
            <w:tcW w:w="4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11</w:t>
            </w:r>
          </w:p>
        </w:tc>
        <w:tc>
          <w:tcPr>
            <w:tcW w:w="2320" w:type="dxa"/>
            <w:gridSpan w:val="2"/>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Style w:val="12"/>
                <w:rFonts w:hint="eastAsia" w:asciiTheme="minorEastAsia" w:hAnsiTheme="minorEastAsia" w:eastAsiaTheme="minorEastAsia" w:cstheme="minorEastAsia"/>
                <w:color w:val="auto"/>
                <w:sz w:val="21"/>
                <w:szCs w:val="21"/>
                <w:highlight w:val="none"/>
                <w:lang w:val="en-US" w:eastAsia="zh-CN" w:bidi="ar"/>
              </w:rPr>
            </w:pPr>
            <w:r>
              <w:rPr>
                <w:rStyle w:val="12"/>
                <w:rFonts w:hint="eastAsia" w:asciiTheme="minorEastAsia" w:hAnsiTheme="minorEastAsia" w:eastAsiaTheme="minorEastAsia" w:cstheme="minorEastAsia"/>
                <w:color w:val="auto"/>
                <w:sz w:val="21"/>
                <w:szCs w:val="21"/>
                <w:highlight w:val="none"/>
                <w:lang w:val="en-US" w:eastAsia="zh-CN" w:bidi="ar"/>
              </w:rPr>
              <w:t>废气（</w:t>
            </w:r>
            <w:r>
              <w:rPr>
                <w:rFonts w:hint="eastAsia" w:asciiTheme="minorEastAsia" w:hAnsiTheme="minorEastAsia" w:eastAsiaTheme="minorEastAsia" w:cstheme="minorEastAsia"/>
                <w:color w:val="auto"/>
                <w:kern w:val="0"/>
                <w:sz w:val="21"/>
                <w:szCs w:val="21"/>
                <w:highlight w:val="none"/>
                <w:lang w:bidi="ar"/>
              </w:rPr>
              <w:t>苯、甲苯、二甲苯、总挥发性有机污染物（TVOCs）</w:t>
            </w:r>
            <w:r>
              <w:rPr>
                <w:rStyle w:val="12"/>
                <w:rFonts w:hint="eastAsia" w:asciiTheme="minorEastAsia" w:hAnsiTheme="minorEastAsia" w:eastAsiaTheme="minorEastAsia" w:cstheme="minorEastAsia"/>
                <w:color w:val="auto"/>
                <w:sz w:val="21"/>
                <w:szCs w:val="21"/>
                <w:highlight w:val="none"/>
                <w:lang w:val="en-US" w:eastAsia="zh-CN" w:bidi="ar"/>
              </w:rPr>
              <w:t>）</w:t>
            </w:r>
          </w:p>
        </w:tc>
        <w:tc>
          <w:tcPr>
            <w:tcW w:w="63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苯、甲苯、二甲苯、三甲苯、总VOCs  DB44/816-2010</w:t>
            </w:r>
          </w:p>
        </w:tc>
      </w:tr>
      <w:tr>
        <w:tblPrEx>
          <w:shd w:val="clear" w:color="auto" w:fill="auto"/>
          <w:tblCellMar>
            <w:top w:w="0" w:type="dxa"/>
            <w:left w:w="108" w:type="dxa"/>
            <w:bottom w:w="0" w:type="dxa"/>
            <w:right w:w="108" w:type="dxa"/>
          </w:tblCellMar>
        </w:tblPrEx>
        <w:trPr>
          <w:trHeight w:val="340" w:hRule="atLeast"/>
        </w:trPr>
        <w:tc>
          <w:tcPr>
            <w:tcW w:w="4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12</w:t>
            </w:r>
          </w:p>
        </w:tc>
        <w:tc>
          <w:tcPr>
            <w:tcW w:w="2320" w:type="dxa"/>
            <w:gridSpan w:val="2"/>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Style w:val="12"/>
                <w:rFonts w:hint="default" w:asciiTheme="minorEastAsia" w:hAnsiTheme="minorEastAsia" w:eastAsiaTheme="minorEastAsia" w:cstheme="minorEastAsia"/>
                <w:color w:val="auto"/>
                <w:sz w:val="21"/>
                <w:szCs w:val="21"/>
                <w:highlight w:val="none"/>
                <w:lang w:val="en-US" w:eastAsia="zh-CN" w:bidi="ar"/>
              </w:rPr>
            </w:pPr>
            <w:r>
              <w:rPr>
                <w:rStyle w:val="12"/>
                <w:rFonts w:hint="eastAsia" w:asciiTheme="minorEastAsia" w:hAnsiTheme="minorEastAsia" w:eastAsiaTheme="minorEastAsia" w:cstheme="minorEastAsia"/>
                <w:color w:val="auto"/>
                <w:sz w:val="21"/>
                <w:szCs w:val="21"/>
                <w:highlight w:val="none"/>
                <w:lang w:val="en-US" w:eastAsia="zh-CN" w:bidi="ar"/>
              </w:rPr>
              <w:t>锅炉废气</w:t>
            </w:r>
          </w:p>
        </w:tc>
        <w:tc>
          <w:tcPr>
            <w:tcW w:w="63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ind w:firstLineChars="20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《锅炉大气污染物排放标准》 DB44/765-2019</w:t>
            </w:r>
          </w:p>
        </w:tc>
      </w:tr>
      <w:tr>
        <w:tblPrEx>
          <w:shd w:val="clear" w:color="auto" w:fill="auto"/>
          <w:tblCellMar>
            <w:top w:w="0" w:type="dxa"/>
            <w:left w:w="108" w:type="dxa"/>
            <w:bottom w:w="0" w:type="dxa"/>
            <w:right w:w="108" w:type="dxa"/>
          </w:tblCellMar>
        </w:tblPrEx>
        <w:trPr>
          <w:trHeight w:val="340" w:hRule="atLeast"/>
        </w:trPr>
        <w:tc>
          <w:tcPr>
            <w:tcW w:w="440" w:type="dxa"/>
            <w:vMerge w:val="restart"/>
            <w:tcBorders>
              <w:top w:val="nil"/>
              <w:left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13</w:t>
            </w:r>
          </w:p>
        </w:tc>
        <w:tc>
          <w:tcPr>
            <w:tcW w:w="2320" w:type="dxa"/>
            <w:gridSpan w:val="2"/>
            <w:vMerge w:val="restart"/>
            <w:tcBorders>
              <w:top w:val="single" w:color="auto" w:sz="4" w:space="0"/>
              <w:left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饮食业油烟</w:t>
            </w:r>
          </w:p>
        </w:tc>
        <w:tc>
          <w:tcPr>
            <w:tcW w:w="63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sz w:val="21"/>
                <w:szCs w:val="21"/>
                <w:highlight w:val="none"/>
                <w:u w:val="none"/>
                <w:lang w:val="en-US"/>
              </w:rPr>
              <w:t>《饮食业油烟排放标准》</w:t>
            </w:r>
            <w:r>
              <w:rPr>
                <w:rFonts w:hint="eastAsia" w:ascii="Times New Roman" w:hAnsi="Times New Roman" w:cs="Times New Roman"/>
                <w:i w:val="0"/>
                <w:iCs w:val="0"/>
                <w:color w:val="auto"/>
                <w:sz w:val="21"/>
                <w:szCs w:val="21"/>
                <w:highlight w:val="none"/>
                <w:u w:val="none"/>
                <w:lang w:val="en-US" w:eastAsia="zh-CN"/>
              </w:rPr>
              <w:t xml:space="preserve"> </w:t>
            </w:r>
            <w:r>
              <w:rPr>
                <w:rFonts w:hint="eastAsia" w:asciiTheme="minorEastAsia" w:hAnsiTheme="minorEastAsia" w:eastAsiaTheme="minorEastAsia" w:cstheme="minorEastAsia"/>
                <w:i w:val="0"/>
                <w:iCs w:val="0"/>
                <w:color w:val="auto"/>
                <w:sz w:val="21"/>
                <w:szCs w:val="21"/>
                <w:highlight w:val="none"/>
                <w:u w:val="none"/>
                <w:lang w:val="en-US" w:eastAsia="zh-CN"/>
              </w:rPr>
              <w:t xml:space="preserve"> </w:t>
            </w:r>
            <w:r>
              <w:rPr>
                <w:rFonts w:hint="eastAsia" w:asciiTheme="minorEastAsia" w:hAnsiTheme="minorEastAsia" w:eastAsiaTheme="minorEastAsia" w:cstheme="minorEastAsia"/>
                <w:i w:val="0"/>
                <w:iCs w:val="0"/>
                <w:color w:val="auto"/>
                <w:sz w:val="21"/>
                <w:szCs w:val="21"/>
                <w:highlight w:val="none"/>
                <w:u w:val="none"/>
                <w:lang w:val="en-US"/>
              </w:rPr>
              <w:t>GB18483-2001</w:t>
            </w:r>
          </w:p>
        </w:tc>
      </w:tr>
      <w:tr>
        <w:tblPrEx>
          <w:tblCellMar>
            <w:top w:w="0" w:type="dxa"/>
            <w:left w:w="108" w:type="dxa"/>
            <w:bottom w:w="0" w:type="dxa"/>
            <w:right w:w="108" w:type="dxa"/>
          </w:tblCellMar>
        </w:tblPrEx>
        <w:trPr>
          <w:trHeight w:val="340" w:hRule="atLeast"/>
        </w:trPr>
        <w:tc>
          <w:tcPr>
            <w:tcW w:w="440" w:type="dxa"/>
            <w:vMerge w:val="continue"/>
            <w:tcBorders>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p>
        </w:tc>
        <w:tc>
          <w:tcPr>
            <w:tcW w:w="2320" w:type="dxa"/>
            <w:gridSpan w:val="2"/>
            <w:vMerge w:val="continue"/>
            <w:tcBorders>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p>
        </w:tc>
        <w:tc>
          <w:tcPr>
            <w:tcW w:w="63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sz w:val="21"/>
                <w:szCs w:val="21"/>
                <w:highlight w:val="none"/>
                <w:u w:val="none"/>
                <w:lang w:val="en-US"/>
              </w:rPr>
              <w:t>《固定污染源废气 油烟和油雾的测定 红外分光光度法》（HJ 1077—2019）</w:t>
            </w:r>
          </w:p>
        </w:tc>
      </w:tr>
      <w:tr>
        <w:tblPrEx>
          <w:tblCellMar>
            <w:top w:w="0" w:type="dxa"/>
            <w:left w:w="108" w:type="dxa"/>
            <w:bottom w:w="0" w:type="dxa"/>
            <w:right w:w="108" w:type="dxa"/>
          </w:tblCellMar>
        </w:tblPrEx>
        <w:trPr>
          <w:trHeight w:val="340" w:hRule="atLeast"/>
        </w:trPr>
        <w:tc>
          <w:tcPr>
            <w:tcW w:w="440" w:type="dxa"/>
            <w:vMerge w:val="restart"/>
            <w:tcBorders>
              <w:top w:val="nil"/>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14</w:t>
            </w:r>
          </w:p>
        </w:tc>
        <w:tc>
          <w:tcPr>
            <w:tcW w:w="960"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电磁辐射</w:t>
            </w:r>
          </w:p>
        </w:tc>
        <w:tc>
          <w:tcPr>
            <w:tcW w:w="1360"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功率密度</w:t>
            </w:r>
          </w:p>
        </w:tc>
        <w:tc>
          <w:tcPr>
            <w:tcW w:w="630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移动通信基站电磁辐射环境监测方法  HJ972—2018</w:t>
            </w:r>
          </w:p>
        </w:tc>
      </w:tr>
      <w:tr>
        <w:tblPrEx>
          <w:shd w:val="clear" w:color="auto" w:fill="auto"/>
          <w:tblCellMar>
            <w:top w:w="0" w:type="dxa"/>
            <w:left w:w="108" w:type="dxa"/>
            <w:bottom w:w="0" w:type="dxa"/>
            <w:right w:w="108" w:type="dxa"/>
          </w:tblCellMar>
        </w:tblPrEx>
        <w:trPr>
          <w:trHeight w:val="340" w:hRule="atLeast"/>
        </w:trPr>
        <w:tc>
          <w:tcPr>
            <w:tcW w:w="44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960"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1360"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63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5G</w:t>
            </w:r>
            <w:r>
              <w:rPr>
                <w:rFonts w:hint="eastAsia" w:ascii="宋体" w:hAnsi="宋体" w:eastAsia="宋体" w:cs="宋体"/>
                <w:i w:val="0"/>
                <w:iCs w:val="0"/>
                <w:color w:val="auto"/>
                <w:kern w:val="0"/>
                <w:sz w:val="21"/>
                <w:szCs w:val="21"/>
                <w:highlight w:val="none"/>
                <w:u w:val="none"/>
                <w:lang w:val="en-US" w:eastAsia="zh-CN" w:bidi="ar"/>
              </w:rPr>
              <w:t xml:space="preserve">移动通信基站电磁辐射环境监测方法（试行） </w:t>
            </w:r>
            <w:r>
              <w:rPr>
                <w:rFonts w:hint="default" w:ascii="Times New Roman" w:hAnsi="Times New Roman" w:eastAsia="宋体" w:cs="Times New Roman"/>
                <w:i w:val="0"/>
                <w:iCs w:val="0"/>
                <w:color w:val="auto"/>
                <w:kern w:val="0"/>
                <w:sz w:val="21"/>
                <w:szCs w:val="21"/>
                <w:highlight w:val="none"/>
                <w:u w:val="none"/>
                <w:lang w:val="en-US" w:eastAsia="zh-CN" w:bidi="ar"/>
              </w:rPr>
              <w:t>HJ 1151-2020</w:t>
            </w:r>
          </w:p>
        </w:tc>
      </w:tr>
      <w:tr>
        <w:tblPrEx>
          <w:shd w:val="clear" w:color="auto" w:fill="auto"/>
          <w:tblCellMar>
            <w:top w:w="0" w:type="dxa"/>
            <w:left w:w="108" w:type="dxa"/>
            <w:bottom w:w="0" w:type="dxa"/>
            <w:right w:w="108" w:type="dxa"/>
          </w:tblCellMar>
        </w:tblPrEx>
        <w:trPr>
          <w:trHeight w:val="340" w:hRule="atLeast"/>
        </w:trPr>
        <w:tc>
          <w:tcPr>
            <w:tcW w:w="44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960"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1360"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63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中波广播发射台电磁辐射环境 HJ 1136-2020</w:t>
            </w:r>
          </w:p>
        </w:tc>
      </w:tr>
      <w:tr>
        <w:trPr>
          <w:trHeight w:val="340" w:hRule="atLeast"/>
        </w:trPr>
        <w:tc>
          <w:tcPr>
            <w:tcW w:w="44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960"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1360"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630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辐射环境保护管理导则 电磁辐射监测仪器和方法 HJ/T10.2-1996</w:t>
            </w:r>
          </w:p>
        </w:tc>
      </w:tr>
      <w:tr>
        <w:tblPrEx>
          <w:tblCellMar>
            <w:top w:w="0" w:type="dxa"/>
            <w:left w:w="108" w:type="dxa"/>
            <w:bottom w:w="0" w:type="dxa"/>
            <w:right w:w="108" w:type="dxa"/>
          </w:tblCellMar>
        </w:tblPrEx>
        <w:trPr>
          <w:trHeight w:val="300" w:hRule="atLeast"/>
        </w:trPr>
        <w:tc>
          <w:tcPr>
            <w:tcW w:w="440"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ascii="Times New Roman" w:hAnsi="Times New Roman" w:cs="Times New Roman"/>
                <w:i w:val="0"/>
                <w:iCs w:val="0"/>
                <w:color w:val="auto"/>
                <w:kern w:val="0"/>
                <w:sz w:val="21"/>
                <w:szCs w:val="21"/>
                <w:highlight w:val="none"/>
                <w:u w:val="none"/>
                <w:lang w:val="en-US" w:eastAsia="zh-CN" w:bidi="ar"/>
              </w:rPr>
              <w:t>5</w:t>
            </w:r>
          </w:p>
        </w:tc>
        <w:tc>
          <w:tcPr>
            <w:tcW w:w="960"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1360" w:type="dxa"/>
            <w:vMerge w:val="restart"/>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电场强度</w:t>
            </w:r>
          </w:p>
        </w:tc>
        <w:tc>
          <w:tcPr>
            <w:tcW w:w="63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 工频电场测量 GB/T 12720-1991</w:t>
            </w:r>
          </w:p>
        </w:tc>
      </w:tr>
      <w:tr>
        <w:trPr>
          <w:trHeight w:val="300" w:hRule="atLeast"/>
        </w:trPr>
        <w:tc>
          <w:tcPr>
            <w:tcW w:w="44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960"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1360"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63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《交流输变电工程电磁环境监测方法(</w:t>
            </w:r>
            <w:r>
              <w:rPr>
                <w:rFonts w:hint="eastAsia" w:ascii="宋体" w:hAnsi="宋体" w:eastAsia="宋体" w:cs="宋体"/>
                <w:i w:val="0"/>
                <w:iCs w:val="0"/>
                <w:color w:val="auto"/>
                <w:kern w:val="0"/>
                <w:sz w:val="21"/>
                <w:szCs w:val="21"/>
                <w:highlight w:val="none"/>
                <w:u w:val="none"/>
                <w:lang w:val="en-US" w:eastAsia="zh-CN" w:bidi="ar"/>
              </w:rPr>
              <w:t>试行</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default" w:ascii="Times New Roman" w:hAnsi="Times New Roman" w:eastAsia="宋体" w:cs="Times New Roman"/>
                <w:i w:val="0"/>
                <w:iCs w:val="0"/>
                <w:color w:val="auto"/>
                <w:kern w:val="0"/>
                <w:sz w:val="21"/>
                <w:szCs w:val="21"/>
                <w:highlight w:val="none"/>
                <w:u w:val="none"/>
                <w:lang w:val="en-US" w:eastAsia="zh-CN" w:bidi="ar"/>
              </w:rPr>
              <w:t>HJ 681-2013</w:t>
            </w:r>
          </w:p>
        </w:tc>
      </w:tr>
      <w:tr>
        <w:tblPrEx>
          <w:shd w:val="clear" w:color="auto" w:fill="auto"/>
          <w:tblCellMar>
            <w:top w:w="0" w:type="dxa"/>
            <w:left w:w="108" w:type="dxa"/>
            <w:bottom w:w="0" w:type="dxa"/>
            <w:right w:w="108" w:type="dxa"/>
          </w:tblCellMar>
        </w:tblPrEx>
        <w:trPr>
          <w:trHeight w:val="300" w:hRule="atLeast"/>
        </w:trPr>
        <w:tc>
          <w:tcPr>
            <w:tcW w:w="44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960"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1360"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63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移动通信基站电磁辐射环境监测方法  HJ972—2018</w:t>
            </w:r>
          </w:p>
        </w:tc>
      </w:tr>
      <w:tr>
        <w:tblPrEx>
          <w:tblCellMar>
            <w:top w:w="0" w:type="dxa"/>
            <w:left w:w="108" w:type="dxa"/>
            <w:bottom w:w="0" w:type="dxa"/>
            <w:right w:w="108" w:type="dxa"/>
          </w:tblCellMar>
        </w:tblPrEx>
        <w:trPr>
          <w:trHeight w:val="300" w:hRule="atLeast"/>
        </w:trPr>
        <w:tc>
          <w:tcPr>
            <w:tcW w:w="44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960"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1360"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63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《中波广播发射台电磁辐射环境》HJ 1136-2020</w:t>
            </w:r>
          </w:p>
        </w:tc>
      </w:tr>
      <w:tr>
        <w:tblPrEx>
          <w:tblCellMar>
            <w:top w:w="0" w:type="dxa"/>
            <w:left w:w="108" w:type="dxa"/>
            <w:bottom w:w="0" w:type="dxa"/>
            <w:right w:w="108" w:type="dxa"/>
          </w:tblCellMar>
        </w:tblPrEx>
        <w:trPr>
          <w:trHeight w:val="300" w:hRule="atLeast"/>
        </w:trPr>
        <w:tc>
          <w:tcPr>
            <w:tcW w:w="440"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960" w:type="dxa"/>
            <w:vMerge w:val="continue"/>
            <w:tcBorders>
              <w:top w:val="single" w:color="auto" w:sz="4"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1360" w:type="dxa"/>
            <w:vMerge w:val="continue"/>
            <w:tcBorders>
              <w:top w:val="single" w:color="auto" w:sz="4"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630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直流输电工程合成电场限值及其监测方法 GB 39220—2020</w:t>
            </w:r>
          </w:p>
        </w:tc>
      </w:tr>
      <w:tr>
        <w:tblPrEx>
          <w:shd w:val="clear" w:color="auto" w:fill="auto"/>
          <w:tblCellMar>
            <w:top w:w="0" w:type="dxa"/>
            <w:left w:w="108" w:type="dxa"/>
            <w:bottom w:w="0" w:type="dxa"/>
            <w:right w:w="108" w:type="dxa"/>
          </w:tblCellMar>
        </w:tblPrEx>
        <w:trPr>
          <w:trHeight w:val="300" w:hRule="atLeast"/>
        </w:trPr>
        <w:tc>
          <w:tcPr>
            <w:tcW w:w="4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ascii="Times New Roman" w:hAnsi="Times New Roman" w:cs="Times New Roman"/>
                <w:i w:val="0"/>
                <w:iCs w:val="0"/>
                <w:color w:val="auto"/>
                <w:kern w:val="0"/>
                <w:sz w:val="21"/>
                <w:szCs w:val="21"/>
                <w:highlight w:val="none"/>
                <w:u w:val="none"/>
                <w:lang w:val="en-US" w:eastAsia="zh-CN" w:bidi="ar"/>
              </w:rPr>
              <w:t>6</w:t>
            </w:r>
          </w:p>
        </w:tc>
        <w:tc>
          <w:tcPr>
            <w:tcW w:w="96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13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无线电干扰</w:t>
            </w:r>
          </w:p>
        </w:tc>
        <w:tc>
          <w:tcPr>
            <w:tcW w:w="63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《高压架空送电线、变电站无线电干扰测量方法》GB/T 7349-2002</w:t>
            </w:r>
          </w:p>
        </w:tc>
      </w:tr>
      <w:tr>
        <w:tblPrEx>
          <w:shd w:val="clear" w:color="auto" w:fill="auto"/>
          <w:tblCellMar>
            <w:top w:w="0" w:type="dxa"/>
            <w:left w:w="108" w:type="dxa"/>
            <w:bottom w:w="0" w:type="dxa"/>
            <w:right w:w="108" w:type="dxa"/>
          </w:tblCellMar>
        </w:tblPrEx>
        <w:trPr>
          <w:trHeight w:val="380" w:hRule="atLeast"/>
        </w:trPr>
        <w:tc>
          <w:tcPr>
            <w:tcW w:w="440"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ascii="Times New Roman" w:hAnsi="Times New Roman" w:cs="Times New Roman"/>
                <w:i w:val="0"/>
                <w:iCs w:val="0"/>
                <w:color w:val="auto"/>
                <w:kern w:val="0"/>
                <w:sz w:val="21"/>
                <w:szCs w:val="21"/>
                <w:highlight w:val="none"/>
                <w:u w:val="none"/>
                <w:lang w:val="en-US" w:eastAsia="zh-CN" w:bidi="ar"/>
              </w:rPr>
              <w:t>7</w:t>
            </w:r>
          </w:p>
        </w:tc>
        <w:tc>
          <w:tcPr>
            <w:tcW w:w="960" w:type="dxa"/>
            <w:vMerge w:val="restart"/>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电离辐射</w:t>
            </w:r>
          </w:p>
        </w:tc>
        <w:tc>
          <w:tcPr>
            <w:tcW w:w="136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γ</w:t>
            </w:r>
            <w:r>
              <w:rPr>
                <w:rStyle w:val="15"/>
                <w:color w:val="auto"/>
                <w:highlight w:val="none"/>
                <w:lang w:val="en-US" w:eastAsia="zh-CN" w:bidi="ar"/>
              </w:rPr>
              <w:t>辐射剂量率</w:t>
            </w:r>
          </w:p>
        </w:tc>
        <w:tc>
          <w:tcPr>
            <w:tcW w:w="630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 环境γ</w:t>
            </w:r>
            <w:r>
              <w:rPr>
                <w:rStyle w:val="15"/>
                <w:color w:val="auto"/>
                <w:highlight w:val="none"/>
                <w:lang w:val="en-US" w:eastAsia="zh-CN" w:bidi="ar"/>
              </w:rPr>
              <w:t xml:space="preserve">辐射剂量率测量技术规范  </w:t>
            </w:r>
            <w:r>
              <w:rPr>
                <w:rStyle w:val="16"/>
                <w:rFonts w:eastAsia="宋体"/>
                <w:color w:val="auto"/>
                <w:highlight w:val="none"/>
                <w:lang w:val="en-US" w:eastAsia="zh-CN" w:bidi="ar"/>
              </w:rPr>
              <w:t>HJ 1157—2021</w:t>
            </w:r>
          </w:p>
        </w:tc>
      </w:tr>
      <w:tr>
        <w:tblPrEx>
          <w:shd w:val="clear" w:color="auto" w:fill="auto"/>
          <w:tblCellMar>
            <w:top w:w="0" w:type="dxa"/>
            <w:left w:w="108" w:type="dxa"/>
            <w:bottom w:w="0" w:type="dxa"/>
            <w:right w:w="108" w:type="dxa"/>
          </w:tblCellMar>
        </w:tblPrEx>
        <w:trPr>
          <w:trHeight w:val="320" w:hRule="atLeast"/>
        </w:trPr>
        <w:tc>
          <w:tcPr>
            <w:tcW w:w="440"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ascii="Times New Roman" w:hAnsi="Times New Roman" w:cs="Times New Roman"/>
                <w:i w:val="0"/>
                <w:iCs w:val="0"/>
                <w:color w:val="auto"/>
                <w:kern w:val="0"/>
                <w:sz w:val="21"/>
                <w:szCs w:val="21"/>
                <w:highlight w:val="none"/>
                <w:u w:val="none"/>
                <w:lang w:val="en-US" w:eastAsia="zh-CN" w:bidi="ar"/>
              </w:rPr>
              <w:t>8</w:t>
            </w:r>
          </w:p>
        </w:tc>
        <w:tc>
          <w:tcPr>
            <w:tcW w:w="960" w:type="dxa"/>
            <w:vMerge w:val="continue"/>
            <w:tcBorders>
              <w:top w:val="single" w:color="auto" w:sz="4" w:space="0"/>
              <w:left w:val="nil"/>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136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α</w:t>
            </w:r>
            <w:r>
              <w:rPr>
                <w:rStyle w:val="15"/>
                <w:color w:val="auto"/>
                <w:highlight w:val="none"/>
                <w:lang w:val="en-US" w:eastAsia="zh-CN" w:bidi="ar"/>
              </w:rPr>
              <w:t>、</w:t>
            </w:r>
            <w:r>
              <w:rPr>
                <w:rStyle w:val="16"/>
                <w:rFonts w:eastAsia="宋体"/>
                <w:color w:val="auto"/>
                <w:highlight w:val="none"/>
                <w:lang w:val="en-US" w:eastAsia="zh-CN" w:bidi="ar"/>
              </w:rPr>
              <w:t>β</w:t>
            </w:r>
            <w:r>
              <w:rPr>
                <w:rStyle w:val="15"/>
                <w:color w:val="auto"/>
                <w:highlight w:val="none"/>
                <w:lang w:val="en-US" w:eastAsia="zh-CN" w:bidi="ar"/>
              </w:rPr>
              <w:t>表面污染</w:t>
            </w:r>
          </w:p>
        </w:tc>
        <w:tc>
          <w:tcPr>
            <w:tcW w:w="63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表面污染测定</w:t>
            </w:r>
          </w:p>
        </w:tc>
      </w:tr>
      <w:tr>
        <w:tblPrEx>
          <w:shd w:val="clear" w:color="auto" w:fill="auto"/>
          <w:tblCellMar>
            <w:top w:w="0" w:type="dxa"/>
            <w:left w:w="108" w:type="dxa"/>
            <w:bottom w:w="0" w:type="dxa"/>
            <w:right w:w="108" w:type="dxa"/>
          </w:tblCellMar>
        </w:tblPrEx>
        <w:trPr>
          <w:trHeight w:val="320" w:hRule="atLeast"/>
        </w:trPr>
        <w:tc>
          <w:tcPr>
            <w:tcW w:w="440"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19</w:t>
            </w:r>
          </w:p>
        </w:tc>
        <w:tc>
          <w:tcPr>
            <w:tcW w:w="960" w:type="dxa"/>
            <w:tcBorders>
              <w:top w:val="single" w:color="auto" w:sz="4" w:space="0"/>
              <w:left w:val="nil"/>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噪声</w:t>
            </w:r>
          </w:p>
        </w:tc>
        <w:tc>
          <w:tcPr>
            <w:tcW w:w="136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昼间/夜间</w:t>
            </w:r>
          </w:p>
        </w:tc>
        <w:tc>
          <w:tcPr>
            <w:tcW w:w="63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《工业企业厂界环境噪声排放标准 》</w:t>
            </w:r>
            <w:r>
              <w:rPr>
                <w:rFonts w:hint="eastAsia" w:ascii="Times New Roman" w:hAnsi="Times New Roman" w:cs="Times New Roman"/>
                <w:i w:val="0"/>
                <w:iCs w:val="0"/>
                <w:color w:val="auto"/>
                <w:kern w:val="0"/>
                <w:sz w:val="21"/>
                <w:szCs w:val="21"/>
                <w:highlight w:val="none"/>
                <w:u w:val="none"/>
                <w:lang w:val="en-US" w:eastAsia="zh-CN" w:bidi="ar"/>
              </w:rPr>
              <w:t xml:space="preserve"> </w:t>
            </w:r>
            <w:r>
              <w:rPr>
                <w:rFonts w:hint="default" w:ascii="Times New Roman" w:hAnsi="Times New Roman" w:eastAsia="宋体" w:cs="Times New Roman"/>
                <w:i w:val="0"/>
                <w:iCs w:val="0"/>
                <w:color w:val="auto"/>
                <w:kern w:val="0"/>
                <w:sz w:val="21"/>
                <w:szCs w:val="21"/>
                <w:highlight w:val="none"/>
                <w:u w:val="none"/>
                <w:lang w:val="en-US" w:eastAsia="zh-CN" w:bidi="ar"/>
              </w:rPr>
              <w:t>GB 12348-2008</w:t>
            </w:r>
          </w:p>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《建筑施工场界环境噪声排放标准》</w:t>
            </w:r>
            <w:r>
              <w:rPr>
                <w:rFonts w:hint="eastAsia" w:ascii="Times New Roman" w:hAnsi="Times New Roman" w:cs="Times New Roman"/>
                <w:i w:val="0"/>
                <w:iCs w:val="0"/>
                <w:color w:val="auto"/>
                <w:kern w:val="0"/>
                <w:sz w:val="21"/>
                <w:szCs w:val="21"/>
                <w:highlight w:val="none"/>
                <w:u w:val="none"/>
                <w:lang w:val="en-US" w:eastAsia="zh-CN" w:bidi="ar"/>
              </w:rPr>
              <w:t xml:space="preserve"> </w:t>
            </w:r>
            <w:r>
              <w:rPr>
                <w:rFonts w:hint="default" w:ascii="Times New Roman" w:hAnsi="Times New Roman" w:eastAsia="宋体" w:cs="Times New Roman"/>
                <w:i w:val="0"/>
                <w:iCs w:val="0"/>
                <w:color w:val="auto"/>
                <w:kern w:val="0"/>
                <w:sz w:val="21"/>
                <w:szCs w:val="21"/>
                <w:highlight w:val="none"/>
                <w:u w:val="none"/>
                <w:lang w:val="en-US" w:eastAsia="zh-CN" w:bidi="ar"/>
              </w:rPr>
              <w:t>GB 12523—2011</w:t>
            </w:r>
          </w:p>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《环境噪声监测技术规范 结构传播固定设备室内噪声》</w:t>
            </w:r>
            <w:r>
              <w:rPr>
                <w:rFonts w:hint="eastAsia" w:ascii="Times New Roman" w:hAnsi="Times New Roman" w:cs="Times New Roman"/>
                <w:i w:val="0"/>
                <w:iCs w:val="0"/>
                <w:color w:val="auto"/>
                <w:kern w:val="0"/>
                <w:sz w:val="21"/>
                <w:szCs w:val="21"/>
                <w:highlight w:val="none"/>
                <w:u w:val="none"/>
                <w:lang w:val="en-US" w:eastAsia="zh-CN" w:bidi="ar"/>
              </w:rPr>
              <w:t xml:space="preserve"> </w:t>
            </w:r>
            <w:r>
              <w:rPr>
                <w:rFonts w:hint="default" w:ascii="Times New Roman" w:hAnsi="Times New Roman" w:eastAsia="宋体" w:cs="Times New Roman"/>
                <w:i w:val="0"/>
                <w:iCs w:val="0"/>
                <w:color w:val="auto"/>
                <w:kern w:val="0"/>
                <w:sz w:val="21"/>
                <w:szCs w:val="21"/>
                <w:highlight w:val="none"/>
                <w:u w:val="none"/>
                <w:lang w:val="en-US" w:eastAsia="zh-CN" w:bidi="ar"/>
              </w:rPr>
              <w:t>HJ 707-2014</w:t>
            </w:r>
          </w:p>
        </w:tc>
      </w:tr>
    </w:tbl>
    <w:p>
      <w:pPr>
        <w:tabs>
          <w:tab w:val="left" w:pos="1900"/>
        </w:tabs>
        <w:spacing w:line="360" w:lineRule="auto"/>
        <w:ind w:firstLine="315" w:firstLineChars="150"/>
        <w:rPr>
          <w:rFonts w:ascii="Times New Roman" w:hAnsi="Times New Roman" w:cs="Times New Roman"/>
          <w:strike/>
          <w:color w:val="000000"/>
        </w:rPr>
      </w:pPr>
    </w:p>
    <w:p>
      <w:pPr>
        <w:snapToGrid w:val="0"/>
        <w:spacing w:line="360" w:lineRule="auto"/>
        <w:ind w:left="105" w:hanging="105"/>
        <w:jc w:val="left"/>
        <w:outlineLvl w:val="1"/>
        <w:rPr>
          <w:rFonts w:ascii="Times New Roman" w:hAnsi="Times New Roman" w:cs="Times New Roman"/>
          <w:color w:val="000000"/>
        </w:rPr>
      </w:pPr>
    </w:p>
    <w:p>
      <w:pPr>
        <w:snapToGrid w:val="0"/>
        <w:spacing w:line="360" w:lineRule="auto"/>
        <w:ind w:left="105" w:hanging="105"/>
        <w:jc w:val="left"/>
        <w:outlineLvl w:val="1"/>
        <w:rPr>
          <w:rFonts w:ascii="Times New Roman" w:hAnsi="Times New Roman" w:cs="Times New Roman"/>
          <w:color w:val="000000"/>
        </w:rPr>
      </w:pPr>
    </w:p>
    <w:p>
      <w:pPr>
        <w:snapToGrid w:val="0"/>
        <w:spacing w:line="360" w:lineRule="auto"/>
        <w:ind w:left="105" w:hanging="105"/>
        <w:jc w:val="left"/>
        <w:outlineLvl w:val="1"/>
        <w:rPr>
          <w:rFonts w:ascii="Times New Roman" w:hAnsi="Times New Roman" w:cs="Times New Roman"/>
          <w:color w:val="000000"/>
        </w:rPr>
      </w:pPr>
    </w:p>
    <w:p>
      <w:pPr>
        <w:snapToGrid w:val="0"/>
        <w:spacing w:line="360" w:lineRule="auto"/>
        <w:ind w:left="105" w:hanging="105"/>
        <w:jc w:val="left"/>
        <w:outlineLvl w:val="1"/>
        <w:rPr>
          <w:rFonts w:ascii="Times New Roman" w:hAnsi="Times New Roman" w:cs="Times New Roman"/>
          <w:color w:val="000000"/>
        </w:rPr>
      </w:pPr>
      <w:r>
        <w:rPr>
          <w:rFonts w:ascii="Times New Roman" w:hAnsi="Times New Roman" w:cs="Times New Roman"/>
          <w:color w:val="000000"/>
        </w:rPr>
        <w:t>（五）分析项目</w:t>
      </w:r>
    </w:p>
    <w:p>
      <w:pPr>
        <w:tabs>
          <w:tab w:val="left" w:pos="190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污水（</w:t>
      </w:r>
      <w:r>
        <w:rPr>
          <w:rFonts w:hint="eastAsia" w:asciiTheme="minorEastAsia" w:hAnsiTheme="minorEastAsia" w:eastAsiaTheme="minorEastAsia" w:cstheme="minorEastAsia"/>
          <w:color w:val="auto"/>
          <w:sz w:val="21"/>
          <w:szCs w:val="21"/>
          <w:highlight w:val="none"/>
        </w:rPr>
        <w:t>医疗污水</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监测分析项目：pH值、化学需氧量、悬浮物、总磷、动植物油、石油类、氨氮、粪大肠菌群等。</w:t>
      </w:r>
    </w:p>
    <w:p>
      <w:pPr>
        <w:spacing w:line="360" w:lineRule="auto"/>
        <w:ind w:firstLine="420" w:firstLineChars="200"/>
        <w:rPr>
          <w:rStyle w:val="12"/>
          <w:rFonts w:hint="eastAsia" w:asciiTheme="minorEastAsia" w:hAnsiTheme="minorEastAsia" w:eastAsiaTheme="minorEastAsia" w:cstheme="minorEastAsia"/>
          <w:color w:val="auto"/>
          <w:sz w:val="21"/>
          <w:szCs w:val="21"/>
          <w:highlight w:val="none"/>
          <w:lang w:eastAsia="zh-CN" w:bidi="ar"/>
        </w:rPr>
      </w:pPr>
      <w:r>
        <w:rPr>
          <w:rFonts w:hint="eastAsia" w:asciiTheme="minorEastAsia" w:hAnsiTheme="minorEastAsia" w:eastAsiaTheme="minorEastAsia" w:cstheme="minorEastAsia"/>
          <w:color w:val="auto"/>
          <w:sz w:val="21"/>
          <w:szCs w:val="21"/>
          <w:highlight w:val="none"/>
        </w:rPr>
        <w:t>2、废气监测项目：恶臭气体（臭气浓度）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废气（</w:t>
      </w:r>
      <w:r>
        <w:rPr>
          <w:rStyle w:val="12"/>
          <w:rFonts w:hint="eastAsia" w:asciiTheme="minorEastAsia" w:hAnsiTheme="minorEastAsia" w:eastAsiaTheme="minorEastAsia" w:cstheme="minorEastAsia"/>
          <w:color w:val="auto"/>
          <w:sz w:val="21"/>
          <w:szCs w:val="21"/>
          <w:highlight w:val="none"/>
          <w:lang w:bidi="ar"/>
        </w:rPr>
        <w:t>非甲烷总烃</w:t>
      </w:r>
      <w:r>
        <w:rPr>
          <w:rFonts w:hint="eastAsia" w:asciiTheme="minorEastAsia" w:hAnsiTheme="minorEastAsia" w:eastAsiaTheme="minorEastAsia" w:cstheme="minorEastAsia"/>
          <w:color w:val="auto"/>
          <w:sz w:val="21"/>
          <w:szCs w:val="21"/>
          <w:highlight w:val="none"/>
          <w:lang w:val="en-US" w:eastAsia="zh-CN"/>
        </w:rPr>
        <w:t>）</w:t>
      </w:r>
      <w:r>
        <w:rPr>
          <w:rStyle w:val="12"/>
          <w:rFonts w:hint="eastAsia" w:asciiTheme="minorEastAsia" w:hAnsiTheme="minorEastAsia" w:eastAsiaTheme="minorEastAsia" w:cstheme="minorEastAsia"/>
          <w:color w:val="auto"/>
          <w:sz w:val="21"/>
          <w:szCs w:val="21"/>
          <w:highlight w:val="none"/>
          <w:lang w:eastAsia="zh-CN" w:bidi="ar"/>
        </w:rPr>
        <w:t>、</w:t>
      </w:r>
      <w:r>
        <w:rPr>
          <w:rStyle w:val="12"/>
          <w:rFonts w:hint="eastAsia" w:asciiTheme="minorEastAsia" w:hAnsiTheme="minorEastAsia" w:eastAsiaTheme="minorEastAsia" w:cstheme="minorEastAsia"/>
          <w:color w:val="auto"/>
          <w:sz w:val="21"/>
          <w:szCs w:val="21"/>
          <w:highlight w:val="none"/>
          <w:lang w:val="en-US" w:eastAsia="zh-CN" w:bidi="ar"/>
        </w:rPr>
        <w:t>废气（）</w:t>
      </w:r>
      <w:r>
        <w:rPr>
          <w:rFonts w:hint="eastAsia" w:asciiTheme="minorEastAsia" w:hAnsiTheme="minorEastAsia" w:eastAsiaTheme="minorEastAsia" w:cstheme="minorEastAsia"/>
          <w:color w:val="auto"/>
          <w:kern w:val="0"/>
          <w:sz w:val="21"/>
          <w:szCs w:val="21"/>
          <w:highlight w:val="none"/>
          <w:lang w:bidi="ar"/>
        </w:rPr>
        <w:t>苯、甲苯、二甲苯、总挥发性有机污染物（TVOCs）</w:t>
      </w:r>
      <w:r>
        <w:rPr>
          <w:rFonts w:hint="eastAsia" w:asciiTheme="minorEastAsia" w:hAnsiTheme="minorEastAsia" w:eastAsiaTheme="minorEastAsia" w:cstheme="minorEastAsia"/>
          <w:color w:val="auto"/>
          <w:kern w:val="0"/>
          <w:sz w:val="21"/>
          <w:szCs w:val="21"/>
          <w:highlight w:val="none"/>
          <w:lang w:eastAsia="zh-CN" w:bidi="ar"/>
        </w:rPr>
        <w:t>）</w:t>
      </w:r>
      <w:r>
        <w:rPr>
          <w:rStyle w:val="12"/>
          <w:rFonts w:hint="eastAsia" w:asciiTheme="minorEastAsia" w:hAnsiTheme="minorEastAsia" w:eastAsiaTheme="minorEastAsia" w:cstheme="minorEastAsia"/>
          <w:color w:val="auto"/>
          <w:sz w:val="21"/>
          <w:szCs w:val="21"/>
          <w:highlight w:val="none"/>
          <w:lang w:val="en-US" w:eastAsia="zh-CN" w:bidi="ar"/>
        </w:rPr>
        <w:t>、锅炉废气、饮食业油烟</w:t>
      </w:r>
      <w:r>
        <w:rPr>
          <w:rFonts w:hint="eastAsia" w:asciiTheme="minorEastAsia" w:hAnsiTheme="minorEastAsia" w:eastAsiaTheme="minorEastAsia" w:cstheme="minorEastAsia"/>
          <w:color w:val="auto"/>
          <w:kern w:val="0"/>
          <w:sz w:val="21"/>
          <w:szCs w:val="21"/>
          <w:highlight w:val="none"/>
          <w:lang w:eastAsia="zh-CN" w:bidi="ar"/>
        </w:rPr>
        <w:t>。</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3、辐射监测项目：功率密度、磁场强度、电场强度、无线电干扰；γ辐射剂量率；α、β表面污染等。</w:t>
      </w:r>
    </w:p>
    <w:p>
      <w:pPr>
        <w:pStyle w:val="2"/>
        <w:rPr>
          <w:rFonts w:hint="default" w:eastAsiaTheme="minorEastAsia"/>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4、噪声监测项目：昼间噪声、夜间噪声。</w:t>
      </w:r>
    </w:p>
    <w:p>
      <w:pPr>
        <w:snapToGrid w:val="0"/>
        <w:spacing w:before="156" w:beforeLines="50" w:line="360" w:lineRule="auto"/>
        <w:jc w:val="left"/>
        <w:outlineLvl w:val="1"/>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三、工作要求与时间要求</w:t>
      </w:r>
    </w:p>
    <w:p>
      <w:pPr>
        <w:autoSpaceDE w:val="0"/>
        <w:autoSpaceDN w:val="0"/>
        <w:adjustRightInd w:val="0"/>
        <w:snapToGrid w:val="0"/>
        <w:spacing w:before="156" w:beforeLines="50" w:line="360" w:lineRule="auto"/>
        <w:ind w:left="105" w:hanging="105" w:hangingChars="50"/>
        <w:outlineLvl w:val="0"/>
        <w:rPr>
          <w:rFonts w:ascii="Times New Roman" w:hAnsi="Times New Roman" w:cs="Times New Roman"/>
          <w:color w:val="auto"/>
          <w:highlight w:val="none"/>
        </w:rPr>
      </w:pPr>
      <w:r>
        <w:rPr>
          <w:rFonts w:ascii="Times New Roman" w:hAnsi="Times New Roman" w:cs="Times New Roman"/>
          <w:color w:val="auto"/>
          <w:highlight w:val="none"/>
        </w:rPr>
        <w:t>（一）</w:t>
      </w:r>
      <w:r>
        <w:rPr>
          <w:rFonts w:ascii="Times New Roman" w:hAnsi="Times New Roman" w:cs="Times New Roman"/>
          <w:color w:val="000000"/>
        </w:rPr>
        <w:t>成交合同签订后，</w:t>
      </w:r>
      <w:r>
        <w:rPr>
          <w:rFonts w:hint="eastAsia" w:asciiTheme="minorEastAsia" w:hAnsiTheme="minorEastAsia" w:eastAsiaTheme="minorEastAsia" w:cstheme="minorEastAsia"/>
          <w:color w:val="auto"/>
          <w:sz w:val="21"/>
          <w:szCs w:val="21"/>
          <w:highlight w:val="none"/>
          <w:lang w:val="en-US" w:eastAsia="zh-CN"/>
        </w:rPr>
        <w:t>通过抽签方式，再将三家供应商分别对应服务我分局的三个执法科，由各执法科向成交供应商下达</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受</w:t>
      </w:r>
      <w:r>
        <w:rPr>
          <w:rFonts w:ascii="Times New Roman" w:hAnsi="Times New Roman" w:cs="Times New Roman"/>
          <w:color w:val="auto"/>
          <w:highlight w:val="none"/>
        </w:rPr>
        <w:t>测单位监测工作（含应急监测）任务清单表”</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成交供应商须</w:t>
      </w:r>
      <w:r>
        <w:rPr>
          <w:rFonts w:hint="eastAsia" w:ascii="Times New Roman" w:hAnsi="Times New Roman" w:cs="Times New Roman"/>
          <w:color w:val="000000"/>
          <w:highlight w:val="none"/>
          <w:lang w:val="en-US" w:eastAsia="zh-CN"/>
        </w:rPr>
        <w:t>按时按质按量</w:t>
      </w:r>
      <w:r>
        <w:rPr>
          <w:rFonts w:ascii="Times New Roman" w:hAnsi="Times New Roman" w:cs="Times New Roman"/>
          <w:color w:val="auto"/>
          <w:highlight w:val="none"/>
        </w:rPr>
        <w:t>完成监测任务并出具监测报告。</w:t>
      </w:r>
    </w:p>
    <w:p>
      <w:pPr>
        <w:autoSpaceDE w:val="0"/>
        <w:autoSpaceDN w:val="0"/>
        <w:adjustRightInd w:val="0"/>
        <w:snapToGrid w:val="0"/>
        <w:spacing w:before="156" w:beforeLines="50" w:line="360" w:lineRule="auto"/>
        <w:ind w:left="105" w:hanging="105" w:hangingChars="50"/>
        <w:outlineLvl w:val="0"/>
        <w:rPr>
          <w:rFonts w:ascii="Times New Roman" w:hAnsi="Times New Roman" w:cs="Times New Roman"/>
          <w:color w:val="auto"/>
          <w:highlight w:val="none"/>
        </w:rPr>
      </w:pPr>
      <w:r>
        <w:rPr>
          <w:rFonts w:ascii="Times New Roman" w:hAnsi="Times New Roman" w:cs="Times New Roman"/>
          <w:color w:val="auto"/>
          <w:highlight w:val="none"/>
        </w:rPr>
        <w:t>（二）成交供应商应按照“先紧后松”的原则，在收到采购人每批次</w:t>
      </w:r>
      <w:r>
        <w:rPr>
          <w:rFonts w:hint="eastAsia" w:ascii="Times New Roman" w:hAnsi="Times New Roman" w:cs="Times New Roman"/>
          <w:color w:val="auto"/>
          <w:highlight w:val="none"/>
          <w:lang w:eastAsia="zh-CN"/>
        </w:rPr>
        <w:t>下达</w:t>
      </w:r>
      <w:r>
        <w:rPr>
          <w:rFonts w:ascii="Times New Roman" w:hAnsi="Times New Roman" w:cs="Times New Roman"/>
          <w:color w:val="auto"/>
          <w:highlight w:val="none"/>
        </w:rPr>
        <w:t>的“</w:t>
      </w:r>
      <w:r>
        <w:rPr>
          <w:rFonts w:hint="eastAsia" w:ascii="Times New Roman" w:hAnsi="Times New Roman" w:cs="Times New Roman"/>
          <w:color w:val="auto"/>
          <w:highlight w:val="none"/>
          <w:lang w:val="en-US" w:eastAsia="zh-CN"/>
        </w:rPr>
        <w:t>受</w:t>
      </w:r>
      <w:r>
        <w:rPr>
          <w:rFonts w:ascii="Times New Roman" w:hAnsi="Times New Roman" w:cs="Times New Roman"/>
          <w:color w:val="auto"/>
          <w:highlight w:val="none"/>
        </w:rPr>
        <w:t>测单位监测工作（含应急监测）任务清单表”的三天内，向采购人提交监测计划</w:t>
      </w:r>
      <w:r>
        <w:rPr>
          <w:rFonts w:hint="eastAsia" w:ascii="Times New Roman" w:hAnsi="Times New Roman" w:cs="Times New Roman"/>
          <w:color w:val="auto"/>
          <w:highlight w:val="none"/>
        </w:rPr>
        <w:t>；</w:t>
      </w:r>
      <w:r>
        <w:rPr>
          <w:rFonts w:ascii="Times New Roman" w:hAnsi="Times New Roman" w:cs="Times New Roman"/>
          <w:color w:val="auto"/>
          <w:highlight w:val="none"/>
        </w:rPr>
        <w:t>如</w:t>
      </w:r>
      <w:r>
        <w:rPr>
          <w:rFonts w:hint="eastAsia" w:ascii="Times New Roman" w:hAnsi="Times New Roman" w:cs="Times New Roman"/>
          <w:color w:val="auto"/>
          <w:highlight w:val="none"/>
        </w:rPr>
        <w:t>收到</w:t>
      </w:r>
      <w:r>
        <w:rPr>
          <w:rFonts w:ascii="Times New Roman" w:hAnsi="Times New Roman" w:cs="Times New Roman"/>
          <w:color w:val="auto"/>
          <w:highlight w:val="none"/>
        </w:rPr>
        <w:t>应急监测任务，</w:t>
      </w:r>
      <w:r>
        <w:rPr>
          <w:rFonts w:hint="eastAsia" w:ascii="Times New Roman" w:hAnsi="Times New Roman" w:cs="Times New Roman"/>
          <w:color w:val="auto"/>
          <w:highlight w:val="none"/>
        </w:rPr>
        <w:t>应优先安排</w:t>
      </w:r>
      <w:r>
        <w:rPr>
          <w:rFonts w:ascii="Times New Roman" w:hAnsi="Times New Roman" w:cs="Times New Roman"/>
          <w:color w:val="auto"/>
          <w:highlight w:val="none"/>
        </w:rPr>
        <w:t>监测。</w:t>
      </w:r>
    </w:p>
    <w:p>
      <w:pPr>
        <w:autoSpaceDE w:val="0"/>
        <w:autoSpaceDN w:val="0"/>
        <w:adjustRightInd w:val="0"/>
        <w:snapToGrid w:val="0"/>
        <w:spacing w:before="156" w:beforeLines="50" w:line="360" w:lineRule="auto"/>
        <w:ind w:left="105" w:hanging="105" w:hangingChars="50"/>
        <w:outlineLvl w:val="0"/>
        <w:rPr>
          <w:rFonts w:ascii="Times New Roman" w:hAnsi="Times New Roman" w:cs="Times New Roman"/>
          <w:color w:val="000000"/>
        </w:rPr>
      </w:pPr>
      <w:r>
        <w:rPr>
          <w:rFonts w:ascii="Times New Roman" w:hAnsi="Times New Roman" w:cs="Times New Roman"/>
          <w:color w:val="auto"/>
          <w:highlight w:val="none"/>
        </w:rPr>
        <w:t>（三）监测工作开展后，成交供应商按照监测计划每周提交一次有效的监测报告</w:t>
      </w:r>
      <w:r>
        <w:rPr>
          <w:rFonts w:hint="eastAsia" w:ascii="Times New Roman" w:hAnsi="Times New Roman" w:cs="Times New Roman"/>
          <w:color w:val="auto"/>
          <w:highlight w:val="none"/>
        </w:rPr>
        <w:t>。</w:t>
      </w:r>
      <w:r>
        <w:rPr>
          <w:rFonts w:ascii="Times New Roman" w:hAnsi="Times New Roman" w:cs="Times New Roman"/>
          <w:color w:val="auto"/>
          <w:highlight w:val="none"/>
        </w:rPr>
        <w:t>如因气象条件不符合监测规范要求等客观原因，导致成交供应商确无法按期完成监测工作，需提前向采购人提出</w:t>
      </w:r>
      <w:r>
        <w:rPr>
          <w:rFonts w:ascii="Times New Roman" w:hAnsi="Times New Roman" w:cs="Times New Roman"/>
          <w:color w:val="000000"/>
        </w:rPr>
        <w:t>监测时间调整计划，经采购人同意后可延迟监测。</w:t>
      </w:r>
    </w:p>
    <w:p>
      <w:pPr>
        <w:autoSpaceDE w:val="0"/>
        <w:autoSpaceDN w:val="0"/>
        <w:adjustRightInd w:val="0"/>
        <w:snapToGrid w:val="0"/>
        <w:spacing w:before="156" w:beforeLines="50" w:line="360" w:lineRule="auto"/>
        <w:ind w:left="105" w:hanging="105" w:hangingChars="50"/>
        <w:outlineLvl w:val="0"/>
        <w:rPr>
          <w:rFonts w:ascii="Times New Roman" w:hAnsi="Times New Roman" w:cs="Times New Roman"/>
          <w:color w:val="000000"/>
        </w:rPr>
      </w:pPr>
      <w:r>
        <w:rPr>
          <w:rFonts w:ascii="Times New Roman" w:hAnsi="Times New Roman" w:cs="Times New Roman"/>
          <w:color w:val="000000"/>
        </w:rPr>
        <w:t>（四）成交供应商需在</w:t>
      </w:r>
      <w:r>
        <w:rPr>
          <w:rFonts w:ascii="Times New Roman" w:hAnsi="Times New Roman" w:cs="Times New Roman"/>
          <w:color w:val="000000"/>
          <w:highlight w:val="none"/>
        </w:rPr>
        <w:t>“</w:t>
      </w:r>
      <w:r>
        <w:rPr>
          <w:rFonts w:hint="eastAsia" w:ascii="Times New Roman" w:hAnsi="Times New Roman" w:cs="Times New Roman"/>
          <w:color w:val="000000"/>
          <w:highlight w:val="none"/>
          <w:lang w:val="en-US" w:eastAsia="zh-CN"/>
        </w:rPr>
        <w:t>受</w:t>
      </w:r>
      <w:r>
        <w:rPr>
          <w:rFonts w:ascii="Times New Roman" w:hAnsi="Times New Roman" w:cs="Times New Roman"/>
          <w:color w:val="000000"/>
          <w:highlight w:val="none"/>
        </w:rPr>
        <w:t>测</w:t>
      </w:r>
      <w:r>
        <w:rPr>
          <w:rFonts w:ascii="Times New Roman" w:hAnsi="Times New Roman" w:cs="Times New Roman"/>
          <w:color w:val="000000"/>
        </w:rPr>
        <w:t>单位监测工作（含应急监测）任务清单表”要求的完成时间内完成该批次监测任务，并全部提交本批次有效的监测报告，采购人</w:t>
      </w:r>
      <w:r>
        <w:rPr>
          <w:rFonts w:hint="eastAsia" w:ascii="Times New Roman" w:hAnsi="Times New Roman" w:cs="Times New Roman"/>
          <w:color w:val="000000"/>
          <w:lang w:val="en-US" w:eastAsia="zh-CN"/>
        </w:rPr>
        <w:t>按季度</w:t>
      </w:r>
      <w:r>
        <w:rPr>
          <w:rFonts w:ascii="Times New Roman" w:hAnsi="Times New Roman" w:cs="Times New Roman"/>
          <w:color w:val="000000"/>
        </w:rPr>
        <w:t>据实进行结算。</w:t>
      </w:r>
    </w:p>
    <w:p>
      <w:pPr>
        <w:autoSpaceDE w:val="0"/>
        <w:autoSpaceDN w:val="0"/>
        <w:adjustRightInd w:val="0"/>
        <w:snapToGrid w:val="0"/>
        <w:spacing w:before="156" w:beforeLines="50" w:line="360" w:lineRule="auto"/>
        <w:ind w:left="105" w:hanging="105" w:hangingChars="50"/>
        <w:outlineLvl w:val="0"/>
        <w:rPr>
          <w:rFonts w:ascii="Times New Roman" w:hAnsi="Times New Roman" w:cs="Times New Roman"/>
          <w:color w:val="000000"/>
        </w:rPr>
      </w:pPr>
      <w:r>
        <w:rPr>
          <w:rFonts w:ascii="Times New Roman" w:hAnsi="Times New Roman" w:cs="Times New Roman"/>
          <w:color w:val="000000"/>
        </w:rPr>
        <w:t>（五）成交供应商无正当原因未按采购人提供的“</w:t>
      </w:r>
      <w:r>
        <w:rPr>
          <w:rFonts w:hint="eastAsia" w:ascii="Times New Roman" w:hAnsi="Times New Roman" w:cs="Times New Roman"/>
          <w:color w:val="000000"/>
          <w:highlight w:val="none"/>
          <w:lang w:val="en-US" w:eastAsia="zh-CN"/>
        </w:rPr>
        <w:t>受</w:t>
      </w:r>
      <w:r>
        <w:rPr>
          <w:rFonts w:ascii="Times New Roman" w:hAnsi="Times New Roman" w:cs="Times New Roman"/>
          <w:color w:val="000000"/>
        </w:rPr>
        <w:t>测单位监测工作（含应急监测）任务清单表”所规定的时间内，完成该批次的监测任务，有权扣减成交供应商该批次全部监测工作量经费总额的10%。</w:t>
      </w:r>
    </w:p>
    <w:p>
      <w:pPr>
        <w:snapToGrid w:val="0"/>
        <w:spacing w:line="360" w:lineRule="auto"/>
        <w:ind w:firstLine="118" w:firstLineChars="49"/>
        <w:jc w:val="left"/>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四、监测报告要求</w:t>
      </w:r>
    </w:p>
    <w:p>
      <w:pPr>
        <w:autoSpaceDE w:val="0"/>
        <w:autoSpaceDN w:val="0"/>
        <w:adjustRightInd w:val="0"/>
        <w:snapToGrid w:val="0"/>
        <w:spacing w:before="156" w:beforeLines="50" w:line="360" w:lineRule="auto"/>
        <w:ind w:left="105" w:hanging="105" w:hangingChars="50"/>
        <w:outlineLvl w:val="0"/>
        <w:rPr>
          <w:rFonts w:ascii="Times New Roman" w:hAnsi="Times New Roman" w:cs="Times New Roman"/>
          <w:color w:val="000000"/>
          <w:highlight w:val="none"/>
        </w:rPr>
      </w:pPr>
      <w:r>
        <w:rPr>
          <w:rFonts w:ascii="Times New Roman" w:hAnsi="Times New Roman" w:cs="Times New Roman"/>
          <w:color w:val="000000"/>
        </w:rPr>
        <w:t>（</w:t>
      </w:r>
      <w:r>
        <w:rPr>
          <w:rFonts w:ascii="Times New Roman" w:hAnsi="Times New Roman" w:cs="Times New Roman"/>
          <w:color w:val="000000"/>
          <w:highlight w:val="none"/>
        </w:rPr>
        <w:t>一）成交供应商开展监测工作后，</w:t>
      </w:r>
      <w:r>
        <w:rPr>
          <w:rFonts w:hint="eastAsia" w:ascii="Times New Roman" w:hAnsi="Times New Roman" w:cs="Times New Roman"/>
          <w:color w:val="000000"/>
          <w:highlight w:val="none"/>
        </w:rPr>
        <w:t>原则上</w:t>
      </w:r>
      <w:r>
        <w:rPr>
          <w:rFonts w:ascii="Times New Roman" w:hAnsi="Times New Roman" w:cs="Times New Roman"/>
          <w:color w:val="000000"/>
          <w:highlight w:val="none"/>
        </w:rPr>
        <w:t>每周向采购人移交规定格式的纸质版有效的监测报告一式</w:t>
      </w:r>
      <w:r>
        <w:rPr>
          <w:rFonts w:hint="eastAsia" w:ascii="Times New Roman" w:hAnsi="Times New Roman" w:cs="Times New Roman"/>
          <w:color w:val="000000"/>
          <w:highlight w:val="none"/>
          <w:lang w:val="en-US" w:eastAsia="zh-CN"/>
        </w:rPr>
        <w:t>两份以及监测结果台账，</w:t>
      </w:r>
      <w:r>
        <w:rPr>
          <w:rFonts w:hint="eastAsia" w:ascii="Times New Roman" w:hAnsi="Times New Roman" w:cs="Times New Roman"/>
          <w:color w:val="000000"/>
          <w:highlight w:val="none"/>
        </w:rPr>
        <w:t>对于</w:t>
      </w:r>
      <w:r>
        <w:rPr>
          <w:rFonts w:ascii="Times New Roman" w:hAnsi="Times New Roman" w:cs="Times New Roman"/>
          <w:color w:val="000000"/>
          <w:highlight w:val="none"/>
        </w:rPr>
        <w:t>应急监测任务</w:t>
      </w:r>
      <w:r>
        <w:rPr>
          <w:rFonts w:hint="eastAsia" w:ascii="Times New Roman" w:hAnsi="Times New Roman" w:cs="Times New Roman"/>
          <w:color w:val="000000"/>
          <w:highlight w:val="none"/>
        </w:rPr>
        <w:t>应尽快提交</w:t>
      </w:r>
      <w:r>
        <w:rPr>
          <w:rFonts w:ascii="Times New Roman" w:hAnsi="Times New Roman" w:cs="Times New Roman"/>
          <w:color w:val="000000"/>
          <w:highlight w:val="none"/>
        </w:rPr>
        <w:t>监测报告，同时发送电子版监测报告（要求加盖企业公章的PDF格式）至采购人，电子版监测报告需与纸质版监测报告保持一致</w:t>
      </w:r>
      <w:r>
        <w:rPr>
          <w:rFonts w:hint="eastAsia" w:ascii="Times New Roman" w:hAnsi="Times New Roman" w:cs="Times New Roman"/>
          <w:color w:val="000000"/>
          <w:highlight w:val="none"/>
        </w:rPr>
        <w:t>；</w:t>
      </w:r>
    </w:p>
    <w:p>
      <w:pPr>
        <w:autoSpaceDE w:val="0"/>
        <w:autoSpaceDN w:val="0"/>
        <w:adjustRightInd w:val="0"/>
        <w:snapToGrid w:val="0"/>
        <w:spacing w:before="156" w:beforeLines="50" w:line="360" w:lineRule="auto"/>
        <w:ind w:left="105" w:hanging="105" w:hangingChars="50"/>
        <w:outlineLvl w:val="0"/>
        <w:rPr>
          <w:rFonts w:ascii="Times New Roman" w:hAnsi="Times New Roman" w:cs="Times New Roman"/>
          <w:color w:val="000000"/>
        </w:rPr>
      </w:pPr>
      <w:r>
        <w:rPr>
          <w:rFonts w:ascii="Times New Roman" w:hAnsi="Times New Roman" w:cs="Times New Roman"/>
          <w:color w:val="000000"/>
          <w:highlight w:val="none"/>
        </w:rPr>
        <w:t>（二）成交供应商须同时随监测报告提交监测原始记录（包括单位代表签名的现场采样记录、样品前处理记录、分析原始记录、仪器打印记录）、超标情况统计表、监测异常情况一览表、质控记录复印件（加盖成交人公章）、受测单位的有关信息（工商营业执照、排污许可证、现场采样照片等的电子版和纸质版）等采购人需要的相关信息，交采购人存档</w:t>
      </w:r>
      <w:r>
        <w:rPr>
          <w:rFonts w:ascii="Times New Roman" w:hAnsi="Times New Roman" w:cs="Times New Roman"/>
          <w:color w:val="000000"/>
        </w:rPr>
        <w:t>备查。</w:t>
      </w:r>
    </w:p>
    <w:p>
      <w:pPr>
        <w:autoSpaceDE w:val="0"/>
        <w:autoSpaceDN w:val="0"/>
        <w:adjustRightInd w:val="0"/>
        <w:snapToGrid w:val="0"/>
        <w:spacing w:before="156" w:beforeLines="50" w:line="360" w:lineRule="auto"/>
        <w:ind w:left="105" w:hanging="105" w:hangingChars="50"/>
        <w:outlineLvl w:val="0"/>
        <w:rPr>
          <w:rFonts w:ascii="Times New Roman" w:hAnsi="Times New Roman" w:cs="Times New Roman"/>
          <w:color w:val="000000"/>
        </w:rPr>
      </w:pPr>
      <w:r>
        <w:rPr>
          <w:rFonts w:ascii="Times New Roman" w:hAnsi="Times New Roman" w:cs="Times New Roman"/>
          <w:color w:val="000000"/>
        </w:rPr>
        <w:t>（三）成交供应商对</w:t>
      </w:r>
      <w:r>
        <w:rPr>
          <w:rFonts w:hint="eastAsia" w:ascii="Times New Roman" w:hAnsi="Times New Roman" w:cs="Times New Roman"/>
          <w:color w:val="000000"/>
          <w:lang w:val="en-US" w:eastAsia="zh-CN"/>
        </w:rPr>
        <w:t>受测</w:t>
      </w:r>
      <w:r>
        <w:rPr>
          <w:rFonts w:ascii="Times New Roman" w:hAnsi="Times New Roman" w:cs="Times New Roman"/>
          <w:color w:val="000000"/>
        </w:rPr>
        <w:t>单位采样、分析等过程和监测报告的真实性、规范性、有效性负责。</w:t>
      </w:r>
    </w:p>
    <w:p>
      <w:pPr>
        <w:autoSpaceDE w:val="0"/>
        <w:autoSpaceDN w:val="0"/>
        <w:adjustRightInd w:val="0"/>
        <w:snapToGrid w:val="0"/>
        <w:spacing w:before="156" w:beforeLines="50" w:line="360" w:lineRule="auto"/>
        <w:ind w:left="105" w:hanging="105" w:hangingChars="50"/>
        <w:outlineLvl w:val="0"/>
        <w:rPr>
          <w:rFonts w:ascii="Times New Roman" w:hAnsi="Times New Roman" w:cs="Times New Roman"/>
          <w:color w:val="000000"/>
        </w:rPr>
      </w:pPr>
      <w:r>
        <w:rPr>
          <w:rFonts w:ascii="Times New Roman" w:hAnsi="Times New Roman" w:cs="Times New Roman"/>
          <w:color w:val="000000"/>
        </w:rPr>
        <w:t>（四）成交供应商必须按照原广州市环境保护局2018年1月印发的《广州市环境保护局关于将我市环境监测社会化工作纳入常态管理的通知》要求，对所有完成的监测服务项目的监测过程，及时自行在“广东省社会环境监测机构信息管理平台”上录入。</w:t>
      </w:r>
    </w:p>
    <w:p>
      <w:pPr>
        <w:pStyle w:val="2"/>
      </w:pPr>
    </w:p>
    <w:p>
      <w:pPr>
        <w:snapToGrid w:val="0"/>
        <w:spacing w:line="360" w:lineRule="auto"/>
        <w:jc w:val="left"/>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五、质控要求</w:t>
      </w:r>
    </w:p>
    <w:p>
      <w:pPr>
        <w:autoSpaceDE w:val="0"/>
        <w:autoSpaceDN w:val="0"/>
        <w:adjustRightInd w:val="0"/>
        <w:snapToGrid w:val="0"/>
        <w:spacing w:before="156" w:beforeLines="50" w:line="360" w:lineRule="auto"/>
        <w:ind w:left="105" w:hanging="105" w:hangingChars="50"/>
        <w:outlineLvl w:val="0"/>
        <w:rPr>
          <w:rFonts w:ascii="Times New Roman" w:hAnsi="Times New Roman" w:cs="Times New Roman"/>
          <w:color w:val="000000"/>
        </w:rPr>
      </w:pPr>
      <w:r>
        <w:rPr>
          <w:rFonts w:ascii="Times New Roman" w:hAnsi="Times New Roman" w:cs="Times New Roman"/>
          <w:color w:val="000000"/>
        </w:rPr>
        <w:t>（一）按照《关于印发&lt;广东省污染源监督性监测质量保证和质量控制工作方案（试行）&gt;的通知》（粤环〔2008〕61号）以及国家、省市颁布的监测质量管理文件的要求执行，提供</w:t>
      </w:r>
      <w:r>
        <w:rPr>
          <w:rFonts w:hint="eastAsia" w:ascii="宋体" w:hAnsi="宋体" w:eastAsia="宋体" w:cs="宋体"/>
          <w:bCs/>
          <w:color w:val="auto"/>
          <w:sz w:val="21"/>
          <w:szCs w:val="21"/>
          <w:highlight w:val="none"/>
          <w:lang w:val="en-US" w:eastAsia="zh-CN"/>
        </w:rPr>
        <w:t>广州市生态环境局越秀分局购买污染源单位以及有关环境应急等辅助监测服务项目</w:t>
      </w:r>
      <w:r>
        <w:rPr>
          <w:rFonts w:ascii="Times New Roman" w:hAnsi="Times New Roman" w:cs="Times New Roman"/>
          <w:color w:val="000000"/>
        </w:rPr>
        <w:t>的质控方案和实施记录。</w:t>
      </w:r>
    </w:p>
    <w:p>
      <w:pPr>
        <w:autoSpaceDE w:val="0"/>
        <w:autoSpaceDN w:val="0"/>
        <w:adjustRightInd w:val="0"/>
        <w:snapToGrid w:val="0"/>
        <w:spacing w:before="156" w:beforeLines="50" w:line="360" w:lineRule="auto"/>
        <w:ind w:left="105" w:hanging="105" w:hangingChars="50"/>
        <w:outlineLvl w:val="0"/>
        <w:rPr>
          <w:rFonts w:ascii="Times New Roman" w:hAnsi="Times New Roman" w:cs="Times New Roman"/>
          <w:color w:val="000000"/>
        </w:rPr>
      </w:pPr>
      <w:r>
        <w:rPr>
          <w:rFonts w:ascii="Times New Roman" w:hAnsi="Times New Roman" w:cs="Times New Roman"/>
          <w:color w:val="000000"/>
        </w:rPr>
        <w:t>（二）成交供应商在监测服务期限内应至少开展一次实验室间比对或能力验证活动。</w:t>
      </w:r>
    </w:p>
    <w:p>
      <w:pPr>
        <w:autoSpaceDE w:val="0"/>
        <w:autoSpaceDN w:val="0"/>
        <w:adjustRightInd w:val="0"/>
        <w:snapToGrid w:val="0"/>
        <w:spacing w:before="156" w:beforeLines="50" w:line="360" w:lineRule="auto"/>
        <w:ind w:left="105" w:hanging="105" w:hangingChars="50"/>
        <w:outlineLvl w:val="0"/>
        <w:rPr>
          <w:rFonts w:hint="default" w:ascii="Times New Roman" w:hAnsi="Times New Roman" w:eastAsia="宋体" w:cs="Times New Roman"/>
          <w:color w:val="000000"/>
          <w:lang w:val="en-US" w:eastAsia="zh-CN"/>
        </w:rPr>
      </w:pPr>
      <w:r>
        <w:rPr>
          <w:rFonts w:ascii="Times New Roman" w:hAnsi="Times New Roman" w:cs="Times New Roman"/>
          <w:color w:val="000000"/>
        </w:rPr>
        <w:t>（三）为保证成交供应商按规范开展监测工作，采购人在服务期限内可安排相关单位通过日常抽查方式对成交供应商开展质量监督，经抽查发现成交供应商存在违反质控要求情况，督促成交供应商立即改正。经调查核实，发现成交供应商采样前事先通知受测单位、弄虚作假、与受测单位串通出具假达标报告等违法违规行为的，将立即终止监测服务合同，并按国家有关法律法规依法处理</w:t>
      </w: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保留追究经济损失的权利。</w:t>
      </w:r>
    </w:p>
    <w:p>
      <w:pPr>
        <w:autoSpaceDE w:val="0"/>
        <w:autoSpaceDN w:val="0"/>
        <w:adjustRightInd w:val="0"/>
        <w:snapToGrid w:val="0"/>
        <w:spacing w:before="156" w:beforeLines="50" w:line="360" w:lineRule="auto"/>
        <w:ind w:left="105" w:hanging="105" w:hangingChars="50"/>
        <w:outlineLvl w:val="0"/>
        <w:rPr>
          <w:rFonts w:hint="eastAsia" w:ascii="Times New Roman" w:hAnsi="Times New Roman" w:cs="Times New Roman"/>
          <w:color w:val="000000"/>
          <w:highlight w:val="none"/>
          <w:lang w:val="en-US" w:eastAsia="zh-CN"/>
        </w:rPr>
      </w:pPr>
      <w:r>
        <w:rPr>
          <w:rFonts w:ascii="Times New Roman" w:hAnsi="Times New Roman" w:cs="Times New Roman"/>
          <w:color w:val="000000"/>
        </w:rPr>
        <w:t>（四）服务期内，成交供应商监测活动的基本条件和技术能力不能持续符合检验检测机关资质认定条件和要求，因自身原因导致其检验检测资质认定能力被停用、资质认定证书被撤销或其他不具备监测能力等情况</w:t>
      </w:r>
      <w:r>
        <w:rPr>
          <w:rFonts w:ascii="Times New Roman" w:hAnsi="Times New Roman" w:cs="Times New Roman"/>
          <w:color w:val="000000"/>
          <w:highlight w:val="none"/>
        </w:rPr>
        <w:t>，从而无法继续合法完成监测任务的，按国家有关法律法规依法处理</w:t>
      </w:r>
      <w:r>
        <w:rPr>
          <w:rFonts w:hint="eastAsia" w:ascii="Times New Roman" w:hAnsi="Times New Roman" w:cs="Times New Roman"/>
          <w:color w:val="000000"/>
          <w:highlight w:val="none"/>
          <w:lang w:eastAsia="zh-CN"/>
        </w:rPr>
        <w:t>，</w:t>
      </w:r>
      <w:r>
        <w:rPr>
          <w:rFonts w:ascii="Times New Roman" w:hAnsi="Times New Roman" w:cs="Times New Roman"/>
          <w:color w:val="000000"/>
          <w:highlight w:val="none"/>
        </w:rPr>
        <w:t>采购人</w:t>
      </w:r>
      <w:r>
        <w:rPr>
          <w:rFonts w:hint="eastAsia" w:ascii="Times New Roman" w:hAnsi="Times New Roman" w:cs="Times New Roman"/>
          <w:color w:val="000000"/>
          <w:highlight w:val="none"/>
          <w:lang w:val="en-US" w:eastAsia="zh-CN"/>
        </w:rPr>
        <w:t>保留追究经济损失的权利。</w:t>
      </w:r>
    </w:p>
    <w:p>
      <w:pPr>
        <w:autoSpaceDE w:val="0"/>
        <w:autoSpaceDN w:val="0"/>
        <w:adjustRightInd w:val="0"/>
        <w:snapToGrid w:val="0"/>
        <w:spacing w:before="156" w:beforeLines="50" w:line="360" w:lineRule="auto"/>
        <w:ind w:left="105" w:hanging="105" w:hangingChars="50"/>
        <w:outlineLvl w:val="0"/>
        <w:rPr>
          <w:rFonts w:ascii="Times New Roman" w:hAnsi="Times New Roman" w:cs="Times New Roman"/>
          <w:color w:val="000000"/>
        </w:rPr>
      </w:pPr>
      <w:r>
        <w:rPr>
          <w:rFonts w:ascii="Times New Roman" w:hAnsi="Times New Roman" w:cs="Times New Roman"/>
          <w:color w:val="000000"/>
          <w:highlight w:val="none"/>
        </w:rPr>
        <w:t>（五）成交供应商应对监测采样、实验分析、监测数据和结果负</w:t>
      </w:r>
      <w:r>
        <w:rPr>
          <w:rFonts w:ascii="Times New Roman" w:hAnsi="Times New Roman" w:cs="Times New Roman"/>
          <w:color w:val="000000"/>
        </w:rPr>
        <w:t>责，并承担相应的法律责任。成交供应商提供的服务严重不符合本项目相关规定的，采购人有权单方面解除合同，并且按国家有关法律法规依法处理</w:t>
      </w: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保留追究经济损失的权利。</w:t>
      </w:r>
      <w:r>
        <w:rPr>
          <w:rFonts w:ascii="Times New Roman" w:hAnsi="Times New Roman" w:cs="Times New Roman"/>
          <w:color w:val="000000"/>
        </w:rPr>
        <w:t>同时，采购人可将成交供应商违约情况报送同级财政主管部门，由财政主管部门将成交供应商列入黑名单，记录在诚信档案内。</w:t>
      </w:r>
    </w:p>
    <w:p>
      <w:pPr>
        <w:tabs>
          <w:tab w:val="left" w:pos="1080"/>
        </w:tabs>
        <w:snapToGrid w:val="0"/>
        <w:spacing w:line="360" w:lineRule="auto"/>
        <w:jc w:val="left"/>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六、保密要求</w:t>
      </w:r>
    </w:p>
    <w:p>
      <w:pPr>
        <w:autoSpaceDE w:val="0"/>
        <w:autoSpaceDN w:val="0"/>
        <w:adjustRightInd w:val="0"/>
        <w:snapToGrid w:val="0"/>
        <w:spacing w:line="360" w:lineRule="auto"/>
        <w:ind w:firstLine="420" w:firstLineChars="200"/>
        <w:outlineLvl w:val="0"/>
        <w:rPr>
          <w:rFonts w:ascii="Times New Roman" w:hAnsi="Times New Roman" w:cs="Times New Roman"/>
          <w:color w:val="000000"/>
        </w:rPr>
      </w:pPr>
      <w:r>
        <w:rPr>
          <w:rFonts w:ascii="Times New Roman" w:hAnsi="Times New Roman" w:cs="Times New Roman"/>
          <w:color w:val="000000"/>
        </w:rPr>
        <w:t>成交供应商对</w:t>
      </w:r>
      <w:r>
        <w:rPr>
          <w:rFonts w:hint="eastAsia" w:ascii="Times New Roman" w:hAnsi="Times New Roman" w:cs="Times New Roman"/>
          <w:color w:val="000000"/>
          <w:lang w:val="en-US" w:eastAsia="zh-CN"/>
        </w:rPr>
        <w:t>受</w:t>
      </w:r>
      <w:r>
        <w:rPr>
          <w:rFonts w:ascii="Times New Roman" w:hAnsi="Times New Roman" w:cs="Times New Roman"/>
          <w:color w:val="000000"/>
        </w:rPr>
        <w:t>测单位的情况、样品的分析数据有保密责任，不得以任何方式泄露给</w:t>
      </w:r>
      <w:r>
        <w:rPr>
          <w:rFonts w:hint="eastAsia" w:ascii="Times New Roman" w:hAnsi="Times New Roman" w:cs="Times New Roman"/>
          <w:color w:val="000000"/>
          <w:lang w:val="en-US" w:eastAsia="zh-CN"/>
        </w:rPr>
        <w:t>受</w:t>
      </w:r>
      <w:r>
        <w:rPr>
          <w:rFonts w:ascii="Times New Roman" w:hAnsi="Times New Roman" w:cs="Times New Roman"/>
          <w:color w:val="000000"/>
        </w:rPr>
        <w:t>测单位等第三方，并且该保密责任不因合同的终止或解除而失效。采购人保留对成交供应商违反本保密要求导致任何损失的追究权利。（成交供应商在签订合同时提供一份保密承诺函给采购人）</w:t>
      </w:r>
    </w:p>
    <w:p>
      <w:pPr>
        <w:tabs>
          <w:tab w:val="left" w:pos="1080"/>
        </w:tabs>
        <w:snapToGrid w:val="0"/>
        <w:spacing w:line="360" w:lineRule="auto"/>
        <w:jc w:val="left"/>
        <w:outlineLvl w:val="1"/>
        <w:rPr>
          <w:rFonts w:ascii="Times New Roman" w:hAnsi="Times New Roman" w:cs="Times New Roman"/>
          <w:b/>
          <w:bCs/>
          <w:color w:val="000000"/>
          <w:sz w:val="24"/>
          <w:szCs w:val="24"/>
        </w:rPr>
      </w:pPr>
      <w:r>
        <w:rPr>
          <w:rFonts w:hint="eastAsia" w:ascii="Times New Roman" w:hAnsi="Times New Roman" w:cs="Times New Roman"/>
          <w:b/>
          <w:bCs/>
          <w:color w:val="000000"/>
          <w:sz w:val="24"/>
          <w:szCs w:val="24"/>
          <w:highlight w:val="none"/>
        </w:rPr>
        <w:t>七</w:t>
      </w:r>
      <w:r>
        <w:rPr>
          <w:rFonts w:ascii="Times New Roman" w:hAnsi="Times New Roman" w:cs="Times New Roman"/>
          <w:b/>
          <w:bCs/>
          <w:color w:val="000000"/>
          <w:sz w:val="24"/>
          <w:szCs w:val="24"/>
          <w:highlight w:val="none"/>
        </w:rPr>
        <w:t>、付款</w:t>
      </w:r>
      <w:r>
        <w:rPr>
          <w:rFonts w:ascii="Times New Roman" w:hAnsi="Times New Roman" w:cs="Times New Roman"/>
          <w:b/>
          <w:bCs/>
          <w:color w:val="000000"/>
          <w:sz w:val="24"/>
          <w:szCs w:val="24"/>
        </w:rPr>
        <w:t>方式</w:t>
      </w:r>
    </w:p>
    <w:p>
      <w:pPr>
        <w:autoSpaceDE w:val="0"/>
        <w:autoSpaceDN w:val="0"/>
        <w:adjustRightInd w:val="0"/>
        <w:snapToGrid w:val="0"/>
        <w:spacing w:before="156" w:beforeLines="50" w:line="360" w:lineRule="auto"/>
        <w:ind w:left="105" w:hanging="105" w:hangingChars="50"/>
        <w:outlineLvl w:val="0"/>
        <w:rPr>
          <w:rFonts w:ascii="Times New Roman" w:hAnsi="Times New Roman" w:cs="Times New Roman"/>
          <w:color w:val="000000"/>
        </w:rPr>
      </w:pPr>
      <w:r>
        <w:rPr>
          <w:rFonts w:ascii="Times New Roman" w:hAnsi="Times New Roman" w:cs="Times New Roman"/>
          <w:color w:val="000000"/>
        </w:rPr>
        <w:t>（一）</w:t>
      </w:r>
      <w:r>
        <w:rPr>
          <w:rFonts w:hint="eastAsia" w:ascii="Times New Roman" w:hAnsi="Times New Roman" w:cs="Times New Roman"/>
          <w:color w:val="auto"/>
          <w:lang w:eastAsia="zh-CN"/>
        </w:rPr>
        <w:t>按季度</w:t>
      </w:r>
      <w:r>
        <w:rPr>
          <w:rFonts w:ascii="Times New Roman" w:hAnsi="Times New Roman" w:cs="Times New Roman"/>
          <w:color w:val="auto"/>
        </w:rPr>
        <w:t>进行据实结算</w:t>
      </w:r>
      <w:r>
        <w:rPr>
          <w:rFonts w:ascii="Times New Roman" w:hAnsi="Times New Roman" w:cs="Times New Roman"/>
          <w:color w:val="000000"/>
        </w:rPr>
        <w:t>（按实际提交有效的监测报告中的监测项目和成交单价进行结算）。</w:t>
      </w:r>
    </w:p>
    <w:p>
      <w:pPr>
        <w:autoSpaceDE w:val="0"/>
        <w:autoSpaceDN w:val="0"/>
        <w:adjustRightInd w:val="0"/>
        <w:snapToGrid w:val="0"/>
        <w:spacing w:before="156" w:beforeLines="50" w:line="360" w:lineRule="auto"/>
        <w:ind w:left="105" w:hanging="105" w:hangingChars="50"/>
        <w:outlineLvl w:val="0"/>
        <w:rPr>
          <w:rFonts w:ascii="Times New Roman" w:hAnsi="Times New Roman" w:cs="Times New Roman"/>
          <w:color w:val="000000"/>
          <w:sz w:val="21"/>
          <w:szCs w:val="21"/>
        </w:rPr>
      </w:pPr>
      <w:r>
        <w:rPr>
          <w:rFonts w:ascii="Times New Roman" w:hAnsi="Times New Roman" w:cs="Times New Roman"/>
          <w:color w:val="000000"/>
        </w:rPr>
        <w:t>（二）结算时，实际监测工作量需成交供应商与采购人双方核实确认，经双方确认后，成交供应商提交该批次结算申请书（含实际监测工作量清单）、等额发票、合同复印件等申请财政资金所必需的所有资料。若逾期未提交齐备资料，</w:t>
      </w:r>
      <w:r>
        <w:rPr>
          <w:rFonts w:hint="eastAsia" w:ascii="Times New Roman" w:hAnsi="Times New Roman" w:cs="Times New Roman"/>
          <w:color w:val="000000"/>
          <w:lang w:val="en-US" w:eastAsia="zh-CN"/>
        </w:rPr>
        <w:t>采购人</w:t>
      </w:r>
      <w:r>
        <w:rPr>
          <w:rFonts w:ascii="Times New Roman" w:hAnsi="Times New Roman" w:cs="Times New Roman"/>
          <w:color w:val="000000"/>
        </w:rPr>
        <w:t>有权顺延</w:t>
      </w:r>
      <w:r>
        <w:rPr>
          <w:rFonts w:ascii="Times New Roman" w:hAnsi="Times New Roman" w:cs="Times New Roman"/>
          <w:color w:val="000000"/>
          <w:sz w:val="21"/>
          <w:szCs w:val="21"/>
        </w:rPr>
        <w:t>办理财政资金支付手续，并不承担任何的违约责任。</w:t>
      </w:r>
    </w:p>
    <w:p>
      <w:pPr>
        <w:autoSpaceDE w:val="0"/>
        <w:autoSpaceDN w:val="0"/>
        <w:adjustRightInd w:val="0"/>
        <w:snapToGrid w:val="0"/>
        <w:spacing w:before="156" w:beforeLines="50" w:line="360" w:lineRule="auto"/>
        <w:ind w:left="105" w:hanging="105" w:hangingChars="50"/>
        <w:outlineLvl w:val="0"/>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（三）因采购人使用的是财政资金，采购人依时向政府采购支付部门提交财政支付申请手续后，即视为采购人已经按期支付。</w:t>
      </w:r>
    </w:p>
    <w:p>
      <w:pPr>
        <w:pStyle w:val="2"/>
        <w:rPr>
          <w:rFonts w:hint="eastAsia" w:eastAsia="宋体"/>
          <w:sz w:val="21"/>
          <w:szCs w:val="21"/>
          <w:highlight w:val="none"/>
          <w:lang w:eastAsia="zh-CN"/>
        </w:rPr>
      </w:pPr>
      <w:r>
        <w:rPr>
          <w:rFonts w:hint="eastAsia" w:ascii="Times New Roman" w:hAnsi="Times New Roman" w:cs="Times New Roman"/>
          <w:color w:val="000000"/>
          <w:sz w:val="21"/>
          <w:szCs w:val="21"/>
          <w:highlight w:val="none"/>
          <w:lang w:eastAsia="zh-CN"/>
        </w:rPr>
        <w:t>（</w:t>
      </w:r>
      <w:r>
        <w:rPr>
          <w:rFonts w:hint="eastAsia" w:ascii="Times New Roman" w:hAnsi="Times New Roman" w:cs="Times New Roman"/>
          <w:color w:val="000000"/>
          <w:sz w:val="21"/>
          <w:szCs w:val="21"/>
          <w:highlight w:val="none"/>
          <w:lang w:val="en-US" w:eastAsia="zh-CN"/>
        </w:rPr>
        <w:t>四</w:t>
      </w:r>
      <w:r>
        <w:rPr>
          <w:rFonts w:hint="eastAsia" w:ascii="Times New Roman" w:hAnsi="Times New Roman" w:cs="Times New Roman"/>
          <w:color w:val="000000"/>
          <w:sz w:val="21"/>
          <w:szCs w:val="21"/>
          <w:highlight w:val="none"/>
          <w:lang w:eastAsia="zh-CN"/>
        </w:rPr>
        <w:t>）</w:t>
      </w:r>
      <w:r>
        <w:rPr>
          <w:rFonts w:ascii="宋体" w:hAnsi="宋体" w:eastAsia="宋体" w:cs="宋体"/>
          <w:sz w:val="21"/>
          <w:szCs w:val="21"/>
          <w:highlight w:val="none"/>
        </w:rPr>
        <w:t>若某个支付期遇到财政国库集中支付系统关闭等其他特殊情况，</w:t>
      </w:r>
      <w:r>
        <w:rPr>
          <w:rFonts w:hint="eastAsia" w:cs="宋体"/>
          <w:sz w:val="21"/>
          <w:szCs w:val="21"/>
          <w:highlight w:val="none"/>
          <w:lang w:val="en-US" w:eastAsia="zh-CN"/>
        </w:rPr>
        <w:t>采购人</w:t>
      </w:r>
      <w:bookmarkStart w:id="0" w:name="_GoBack"/>
      <w:bookmarkEnd w:id="0"/>
      <w:r>
        <w:rPr>
          <w:rFonts w:ascii="宋体" w:hAnsi="宋体" w:eastAsia="宋体" w:cs="宋体"/>
          <w:sz w:val="21"/>
          <w:szCs w:val="21"/>
          <w:highlight w:val="none"/>
        </w:rPr>
        <w:t>可延迟支付。</w:t>
      </w:r>
    </w:p>
    <w:p>
      <w:pPr>
        <w:autoSpaceDE w:val="0"/>
        <w:autoSpaceDN w:val="0"/>
        <w:adjustRightInd w:val="0"/>
        <w:snapToGrid w:val="0"/>
        <w:spacing w:line="360" w:lineRule="auto"/>
        <w:ind w:left="105" w:hanging="105" w:hangingChars="50"/>
        <w:outlineLvl w:val="0"/>
        <w:rPr>
          <w:rFonts w:ascii="Times New Roman" w:hAnsi="Times New Roman" w:cs="Times New Roman"/>
          <w:strike/>
          <w:color w:val="000000"/>
          <w:sz w:val="21"/>
          <w:szCs w:val="21"/>
          <w:highlight w:val="none"/>
        </w:rPr>
      </w:pPr>
    </w:p>
    <w:p>
      <w:pPr>
        <w:autoSpaceDE w:val="0"/>
        <w:autoSpaceDN w:val="0"/>
        <w:adjustRightInd w:val="0"/>
        <w:snapToGrid w:val="0"/>
        <w:spacing w:line="360" w:lineRule="auto"/>
        <w:ind w:left="210" w:leftChars="100" w:firstLine="420" w:firstLineChars="200"/>
        <w:outlineLvl w:val="0"/>
        <w:rPr>
          <w:rFonts w:ascii="Times New Roman" w:hAnsi="Times New Roman" w:cs="Times New Roman"/>
          <w:strike/>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60"/>
    <w:rsid w:val="000157DA"/>
    <w:rsid w:val="00020FF4"/>
    <w:rsid w:val="00043556"/>
    <w:rsid w:val="0004586F"/>
    <w:rsid w:val="000567A2"/>
    <w:rsid w:val="00056E12"/>
    <w:rsid w:val="000A1A94"/>
    <w:rsid w:val="000D64D7"/>
    <w:rsid w:val="000D6F72"/>
    <w:rsid w:val="000E253C"/>
    <w:rsid w:val="000E3778"/>
    <w:rsid w:val="00127172"/>
    <w:rsid w:val="00135EE6"/>
    <w:rsid w:val="001703EB"/>
    <w:rsid w:val="00176AE8"/>
    <w:rsid w:val="00182B6C"/>
    <w:rsid w:val="001873DE"/>
    <w:rsid w:val="001B7C1C"/>
    <w:rsid w:val="001F04A5"/>
    <w:rsid w:val="00214077"/>
    <w:rsid w:val="00222C2F"/>
    <w:rsid w:val="0022705E"/>
    <w:rsid w:val="002371B5"/>
    <w:rsid w:val="00262250"/>
    <w:rsid w:val="002838DB"/>
    <w:rsid w:val="0028676A"/>
    <w:rsid w:val="002967B4"/>
    <w:rsid w:val="002A59AE"/>
    <w:rsid w:val="002C41F3"/>
    <w:rsid w:val="002F42B8"/>
    <w:rsid w:val="003626D9"/>
    <w:rsid w:val="0036289C"/>
    <w:rsid w:val="00384995"/>
    <w:rsid w:val="003858C4"/>
    <w:rsid w:val="00391AC2"/>
    <w:rsid w:val="003A4C20"/>
    <w:rsid w:val="003A56E0"/>
    <w:rsid w:val="003A79CA"/>
    <w:rsid w:val="003C3877"/>
    <w:rsid w:val="003C5624"/>
    <w:rsid w:val="003E020D"/>
    <w:rsid w:val="003E101F"/>
    <w:rsid w:val="00416A79"/>
    <w:rsid w:val="00424D5B"/>
    <w:rsid w:val="00425212"/>
    <w:rsid w:val="004266C8"/>
    <w:rsid w:val="004359D6"/>
    <w:rsid w:val="004372A5"/>
    <w:rsid w:val="00451036"/>
    <w:rsid w:val="00457FDD"/>
    <w:rsid w:val="00476396"/>
    <w:rsid w:val="00492146"/>
    <w:rsid w:val="004A1DCA"/>
    <w:rsid w:val="004C1426"/>
    <w:rsid w:val="004C6062"/>
    <w:rsid w:val="00502CF3"/>
    <w:rsid w:val="005119EF"/>
    <w:rsid w:val="00541613"/>
    <w:rsid w:val="00550444"/>
    <w:rsid w:val="0055369C"/>
    <w:rsid w:val="0055530E"/>
    <w:rsid w:val="00585A31"/>
    <w:rsid w:val="005874A4"/>
    <w:rsid w:val="0059152F"/>
    <w:rsid w:val="00594CC1"/>
    <w:rsid w:val="005A370C"/>
    <w:rsid w:val="005C18C6"/>
    <w:rsid w:val="005D544D"/>
    <w:rsid w:val="006409AC"/>
    <w:rsid w:val="00650D86"/>
    <w:rsid w:val="00652FD9"/>
    <w:rsid w:val="00657B73"/>
    <w:rsid w:val="006B7544"/>
    <w:rsid w:val="006D26B8"/>
    <w:rsid w:val="006D30A4"/>
    <w:rsid w:val="006D54B3"/>
    <w:rsid w:val="006F7D8C"/>
    <w:rsid w:val="0070539A"/>
    <w:rsid w:val="00723D2F"/>
    <w:rsid w:val="00732974"/>
    <w:rsid w:val="00734440"/>
    <w:rsid w:val="0078465A"/>
    <w:rsid w:val="00787996"/>
    <w:rsid w:val="007B6167"/>
    <w:rsid w:val="007B7222"/>
    <w:rsid w:val="007C58D3"/>
    <w:rsid w:val="00833C60"/>
    <w:rsid w:val="008374AB"/>
    <w:rsid w:val="00857952"/>
    <w:rsid w:val="008A1677"/>
    <w:rsid w:val="008A194C"/>
    <w:rsid w:val="008B786C"/>
    <w:rsid w:val="008C28EA"/>
    <w:rsid w:val="008E5EC8"/>
    <w:rsid w:val="00901745"/>
    <w:rsid w:val="009267B7"/>
    <w:rsid w:val="00935191"/>
    <w:rsid w:val="00936848"/>
    <w:rsid w:val="00940107"/>
    <w:rsid w:val="009409FF"/>
    <w:rsid w:val="00984259"/>
    <w:rsid w:val="0098649A"/>
    <w:rsid w:val="009A1258"/>
    <w:rsid w:val="009B3F62"/>
    <w:rsid w:val="009C53FA"/>
    <w:rsid w:val="009D2CDD"/>
    <w:rsid w:val="009D72D4"/>
    <w:rsid w:val="009E4F50"/>
    <w:rsid w:val="009F0ED2"/>
    <w:rsid w:val="00A15E89"/>
    <w:rsid w:val="00A2332D"/>
    <w:rsid w:val="00A34894"/>
    <w:rsid w:val="00A563B5"/>
    <w:rsid w:val="00AC5BC7"/>
    <w:rsid w:val="00AF1020"/>
    <w:rsid w:val="00B04189"/>
    <w:rsid w:val="00B1539F"/>
    <w:rsid w:val="00B36065"/>
    <w:rsid w:val="00B60CC5"/>
    <w:rsid w:val="00B729C3"/>
    <w:rsid w:val="00B85DA5"/>
    <w:rsid w:val="00BA7D13"/>
    <w:rsid w:val="00BC0A80"/>
    <w:rsid w:val="00BF2416"/>
    <w:rsid w:val="00C04F7A"/>
    <w:rsid w:val="00C07369"/>
    <w:rsid w:val="00C11E04"/>
    <w:rsid w:val="00C6460B"/>
    <w:rsid w:val="00CA788E"/>
    <w:rsid w:val="00CB55FB"/>
    <w:rsid w:val="00CC68BD"/>
    <w:rsid w:val="00CD3981"/>
    <w:rsid w:val="00CE3F2D"/>
    <w:rsid w:val="00CF32A0"/>
    <w:rsid w:val="00D01032"/>
    <w:rsid w:val="00D06C9B"/>
    <w:rsid w:val="00D10064"/>
    <w:rsid w:val="00D21B99"/>
    <w:rsid w:val="00D36C15"/>
    <w:rsid w:val="00D678C0"/>
    <w:rsid w:val="00D67C11"/>
    <w:rsid w:val="00D94156"/>
    <w:rsid w:val="00E0620B"/>
    <w:rsid w:val="00E14834"/>
    <w:rsid w:val="00E173D9"/>
    <w:rsid w:val="00E37EDC"/>
    <w:rsid w:val="00E51A76"/>
    <w:rsid w:val="00E6425B"/>
    <w:rsid w:val="00E703D6"/>
    <w:rsid w:val="00E71EE7"/>
    <w:rsid w:val="00EB2F68"/>
    <w:rsid w:val="00EE4C5A"/>
    <w:rsid w:val="00EE61AE"/>
    <w:rsid w:val="00EE6FE5"/>
    <w:rsid w:val="00EF4115"/>
    <w:rsid w:val="00F106BB"/>
    <w:rsid w:val="00F17AC9"/>
    <w:rsid w:val="00F231F6"/>
    <w:rsid w:val="00F313BF"/>
    <w:rsid w:val="00F41F1F"/>
    <w:rsid w:val="00F46C41"/>
    <w:rsid w:val="00F51BA1"/>
    <w:rsid w:val="00F52378"/>
    <w:rsid w:val="00F6773A"/>
    <w:rsid w:val="00F94858"/>
    <w:rsid w:val="00FA691F"/>
    <w:rsid w:val="00FB17C4"/>
    <w:rsid w:val="00FC3D84"/>
    <w:rsid w:val="00FE77C1"/>
    <w:rsid w:val="02C31FE2"/>
    <w:rsid w:val="036E5206"/>
    <w:rsid w:val="03EB1982"/>
    <w:rsid w:val="095E16D7"/>
    <w:rsid w:val="0FE42557"/>
    <w:rsid w:val="10061FAE"/>
    <w:rsid w:val="13EF7BC1"/>
    <w:rsid w:val="157B38A0"/>
    <w:rsid w:val="17EB7F06"/>
    <w:rsid w:val="1869020B"/>
    <w:rsid w:val="18DF73B2"/>
    <w:rsid w:val="1A772242"/>
    <w:rsid w:val="1CFD6E09"/>
    <w:rsid w:val="1D2932D8"/>
    <w:rsid w:val="1FA90B2B"/>
    <w:rsid w:val="1FBF65F9"/>
    <w:rsid w:val="21C535DA"/>
    <w:rsid w:val="22654884"/>
    <w:rsid w:val="245F7DA7"/>
    <w:rsid w:val="266B720F"/>
    <w:rsid w:val="27EB0BC8"/>
    <w:rsid w:val="28B5141D"/>
    <w:rsid w:val="29E82B50"/>
    <w:rsid w:val="2D1B6FC7"/>
    <w:rsid w:val="328D0FAC"/>
    <w:rsid w:val="330D3CE6"/>
    <w:rsid w:val="33683129"/>
    <w:rsid w:val="38A103CC"/>
    <w:rsid w:val="38F55D32"/>
    <w:rsid w:val="3A4E360A"/>
    <w:rsid w:val="3A9F0759"/>
    <w:rsid w:val="3AF86CCF"/>
    <w:rsid w:val="3B525AD8"/>
    <w:rsid w:val="3BA2073A"/>
    <w:rsid w:val="3BFFBC95"/>
    <w:rsid w:val="3D2622BF"/>
    <w:rsid w:val="3D626F2A"/>
    <w:rsid w:val="3DA71E53"/>
    <w:rsid w:val="3DC32356"/>
    <w:rsid w:val="3DC46BC1"/>
    <w:rsid w:val="3E9B616E"/>
    <w:rsid w:val="3FF31600"/>
    <w:rsid w:val="3FF69BEA"/>
    <w:rsid w:val="3FF922B5"/>
    <w:rsid w:val="419A3B72"/>
    <w:rsid w:val="41AA5289"/>
    <w:rsid w:val="42EB4FF2"/>
    <w:rsid w:val="439B0800"/>
    <w:rsid w:val="46AD20BE"/>
    <w:rsid w:val="4B171C0B"/>
    <w:rsid w:val="4E4523EE"/>
    <w:rsid w:val="4FAC4379"/>
    <w:rsid w:val="5064697B"/>
    <w:rsid w:val="5176730F"/>
    <w:rsid w:val="52700F1E"/>
    <w:rsid w:val="530931C1"/>
    <w:rsid w:val="5529178A"/>
    <w:rsid w:val="56C60BDC"/>
    <w:rsid w:val="59D707C7"/>
    <w:rsid w:val="5F7A76CB"/>
    <w:rsid w:val="5FEA0ADB"/>
    <w:rsid w:val="600D0988"/>
    <w:rsid w:val="60B8236E"/>
    <w:rsid w:val="615C680D"/>
    <w:rsid w:val="61A20E40"/>
    <w:rsid w:val="61DE32CF"/>
    <w:rsid w:val="639251FB"/>
    <w:rsid w:val="66055F2F"/>
    <w:rsid w:val="6A9414C6"/>
    <w:rsid w:val="6ABE1C11"/>
    <w:rsid w:val="6AFF84F5"/>
    <w:rsid w:val="6B6B4BF4"/>
    <w:rsid w:val="6D0F7E19"/>
    <w:rsid w:val="6D6A3349"/>
    <w:rsid w:val="6FEB182A"/>
    <w:rsid w:val="70144CCE"/>
    <w:rsid w:val="70C74AEA"/>
    <w:rsid w:val="70F111DB"/>
    <w:rsid w:val="72837CC9"/>
    <w:rsid w:val="72E6131C"/>
    <w:rsid w:val="73594437"/>
    <w:rsid w:val="739F6583"/>
    <w:rsid w:val="75DA2B67"/>
    <w:rsid w:val="77DA3122"/>
    <w:rsid w:val="77FD10EE"/>
    <w:rsid w:val="78280F02"/>
    <w:rsid w:val="78394966"/>
    <w:rsid w:val="787D3C95"/>
    <w:rsid w:val="78B436D4"/>
    <w:rsid w:val="78CE3495"/>
    <w:rsid w:val="797F4F45"/>
    <w:rsid w:val="7ABD76CD"/>
    <w:rsid w:val="7ADD3F97"/>
    <w:rsid w:val="7B196322"/>
    <w:rsid w:val="7BC87CD5"/>
    <w:rsid w:val="7BEA7421"/>
    <w:rsid w:val="7CDDA8DC"/>
    <w:rsid w:val="7CE837F6"/>
    <w:rsid w:val="7D6E25AE"/>
    <w:rsid w:val="7DF889D0"/>
    <w:rsid w:val="7E5748C2"/>
    <w:rsid w:val="7FCE1822"/>
    <w:rsid w:val="97EF787A"/>
    <w:rsid w:val="BAFB4204"/>
    <w:rsid w:val="BB9F76A6"/>
    <w:rsid w:val="C0FF6FD9"/>
    <w:rsid w:val="E7C7CC50"/>
    <w:rsid w:val="F3BEB7C6"/>
    <w:rsid w:val="F5BDECFF"/>
    <w:rsid w:val="FBD8BA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样式 宋体 小四 行距: 1.5 倍行距"/>
    <w:basedOn w:val="1"/>
    <w:qFormat/>
    <w:uiPriority w:val="0"/>
    <w:rPr>
      <w:rFonts w:ascii="宋体" w:hAnsi="宋体" w:cs="宋体"/>
      <w:sz w:val="28"/>
    </w:rPr>
  </w:style>
  <w:style w:type="paragraph" w:styleId="3">
    <w:name w:val="Body Text"/>
    <w:basedOn w:val="1"/>
    <w:next w:val="4"/>
    <w:qFormat/>
    <w:uiPriority w:val="0"/>
    <w:pPr>
      <w:spacing w:after="120"/>
    </w:pPr>
  </w:style>
  <w:style w:type="paragraph" w:styleId="4">
    <w:name w:val="Body Text 2"/>
    <w:basedOn w:val="1"/>
    <w:qFormat/>
    <w:uiPriority w:val="0"/>
    <w:pPr>
      <w:autoSpaceDE w:val="0"/>
      <w:autoSpaceDN w:val="0"/>
      <w:adjustRightInd w:val="0"/>
    </w:pPr>
    <w:rPr>
      <w:rFonts w:ascii="宋体" w:hAnsi="Times New Roman"/>
      <w:kern w:val="0"/>
      <w:sz w:val="28"/>
      <w:szCs w:val="20"/>
    </w:rPr>
  </w:style>
  <w:style w:type="paragraph" w:styleId="5">
    <w:name w:val="footer"/>
    <w:basedOn w:val="1"/>
    <w:link w:val="10"/>
    <w:qFormat/>
    <w:uiPriority w:val="99"/>
    <w:pPr>
      <w:tabs>
        <w:tab w:val="center" w:pos="4153"/>
        <w:tab w:val="right" w:pos="8306"/>
      </w:tabs>
      <w:snapToGrid w:val="0"/>
      <w:jc w:val="left"/>
    </w:pPr>
    <w:rPr>
      <w:sz w:val="18"/>
      <w:szCs w:val="18"/>
    </w:rPr>
  </w:style>
  <w:style w:type="paragraph" w:styleId="6">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locked/>
    <w:uiPriority w:val="99"/>
    <w:rPr>
      <w:sz w:val="18"/>
      <w:szCs w:val="18"/>
    </w:rPr>
  </w:style>
  <w:style w:type="character" w:customStyle="1" w:styleId="10">
    <w:name w:val="页脚 字符"/>
    <w:basedOn w:val="8"/>
    <w:link w:val="5"/>
    <w:qFormat/>
    <w:locked/>
    <w:uiPriority w:val="99"/>
    <w:rPr>
      <w:sz w:val="18"/>
      <w:szCs w:val="18"/>
    </w:rPr>
  </w:style>
  <w:style w:type="character" w:customStyle="1" w:styleId="11">
    <w:name w:val="font51"/>
    <w:basedOn w:val="8"/>
    <w:qFormat/>
    <w:uiPriority w:val="0"/>
    <w:rPr>
      <w:rFonts w:hint="default" w:ascii="Times New Roman" w:hAnsi="Times New Roman" w:cs="Times New Roman"/>
      <w:color w:val="000000"/>
      <w:sz w:val="21"/>
      <w:szCs w:val="21"/>
      <w:u w:val="none"/>
    </w:rPr>
  </w:style>
  <w:style w:type="character" w:customStyle="1" w:styleId="12">
    <w:name w:val="font41"/>
    <w:basedOn w:val="8"/>
    <w:qFormat/>
    <w:uiPriority w:val="0"/>
    <w:rPr>
      <w:rFonts w:hint="eastAsia" w:ascii="宋体" w:hAnsi="宋体" w:eastAsia="宋体" w:cs="宋体"/>
      <w:color w:val="000000"/>
      <w:sz w:val="21"/>
      <w:szCs w:val="21"/>
      <w:u w:val="none"/>
    </w:rPr>
  </w:style>
  <w:style w:type="character" w:customStyle="1" w:styleId="13">
    <w:name w:val="font101"/>
    <w:basedOn w:val="8"/>
    <w:qFormat/>
    <w:uiPriority w:val="0"/>
    <w:rPr>
      <w:rFonts w:hint="eastAsia" w:ascii="宋体" w:hAnsi="宋体" w:eastAsia="宋体" w:cs="宋体"/>
      <w:color w:val="000000"/>
      <w:sz w:val="21"/>
      <w:szCs w:val="21"/>
      <w:u w:val="none"/>
    </w:rPr>
  </w:style>
  <w:style w:type="character" w:customStyle="1" w:styleId="14">
    <w:name w:val="font91"/>
    <w:basedOn w:val="8"/>
    <w:qFormat/>
    <w:uiPriority w:val="0"/>
    <w:rPr>
      <w:rFonts w:hint="default" w:ascii="Times New Roman" w:hAnsi="Times New Roman" w:cs="Times New Roman"/>
      <w:color w:val="000000"/>
      <w:sz w:val="21"/>
      <w:szCs w:val="21"/>
      <w:u w:val="none"/>
    </w:rPr>
  </w:style>
  <w:style w:type="character" w:customStyle="1" w:styleId="15">
    <w:name w:val="font31"/>
    <w:basedOn w:val="8"/>
    <w:qFormat/>
    <w:uiPriority w:val="0"/>
    <w:rPr>
      <w:rFonts w:hint="eastAsia" w:ascii="宋体" w:hAnsi="宋体" w:eastAsia="宋体" w:cs="宋体"/>
      <w:color w:val="000000"/>
      <w:sz w:val="21"/>
      <w:szCs w:val="21"/>
      <w:u w:val="none"/>
    </w:rPr>
  </w:style>
  <w:style w:type="character" w:customStyle="1" w:styleId="16">
    <w:name w:val="font61"/>
    <w:basedOn w:val="8"/>
    <w:qFormat/>
    <w:uiPriority w:val="0"/>
    <w:rPr>
      <w:rFonts w:hint="default" w:ascii="Times New Roman" w:hAnsi="Times New Roman" w:cs="Times New Roman"/>
      <w:color w:val="000000"/>
      <w:sz w:val="21"/>
      <w:szCs w:val="21"/>
      <w:u w:val="none"/>
    </w:rPr>
  </w:style>
  <w:style w:type="character" w:customStyle="1" w:styleId="17">
    <w:name w:val="font01"/>
    <w:basedOn w:val="8"/>
    <w:qFormat/>
    <w:uiPriority w:val="0"/>
    <w:rPr>
      <w:rFonts w:hint="default" w:ascii="Times New Roman" w:hAnsi="Times New Roman" w:cs="Times New Roman"/>
      <w:color w:val="000000"/>
      <w:sz w:val="21"/>
      <w:szCs w:val="21"/>
      <w:u w:val="none"/>
      <w:vertAlign w:val="subscript"/>
    </w:rPr>
  </w:style>
  <w:style w:type="paragraph" w:customStyle="1" w:styleId="18">
    <w:name w:val="表格文字"/>
    <w:basedOn w:val="19"/>
    <w:next w:val="3"/>
    <w:qFormat/>
    <w:uiPriority w:val="0"/>
    <w:pPr>
      <w:spacing w:before="25" w:after="25"/>
      <w:jc w:val="left"/>
    </w:pPr>
    <w:rPr>
      <w:bCs/>
      <w:spacing w:val="10"/>
      <w:kern w:val="0"/>
      <w:sz w:val="24"/>
    </w:rPr>
  </w:style>
  <w:style w:type="paragraph" w:customStyle="1" w:styleId="19">
    <w:name w:val="正文 New"/>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1137</Words>
  <Characters>6486</Characters>
  <Lines>54</Lines>
  <Paragraphs>15</Paragraphs>
  <TotalTime>3</TotalTime>
  <ScaleCrop>false</ScaleCrop>
  <LinksUpToDate>false</LinksUpToDate>
  <CharactersWithSpaces>7608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2021-07-12T16:48:00Z</dcterms:created>
  <dc:creator>钟楚盈</dc:creator>
  <cp:lastModifiedBy>未知</cp:lastModifiedBy>
  <dcterms:modified xsi:type="dcterms:W3CDTF">2022-12-01T03:13:11Z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24BCDC4B7106444D949689D23E00BD9B</vt:lpwstr>
  </property>
</Properties>
</file>