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w:t>
      </w:r>
      <w:bookmarkStart w:id="0" w:name="_GoBack"/>
      <w:bookmarkEnd w:id="0"/>
      <w:r>
        <w:rPr>
          <w:rFonts w:hint="default" w:ascii="Times New Roman" w:hAnsi="Times New Roman" w:eastAsia="仿宋_GB2312" w:cs="Times New Roman"/>
          <w:kern w:val="2"/>
          <w:sz w:val="32"/>
          <w:szCs w:val="32"/>
          <w:lang w:val="en-US" w:eastAsia="zh-CN" w:bidi="ar-SA"/>
        </w:rPr>
        <w:t>罚〔2022〕</w:t>
      </w:r>
      <w:r>
        <w:rPr>
          <w:rFonts w:hint="eastAsia"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en-US" w:eastAsia="zh-CN" w:bidi="ar-SA"/>
        </w:rPr>
        <w:t>号</w:t>
      </w:r>
    </w:p>
    <w:p>
      <w:pPr>
        <w:tabs>
          <w:tab w:val="center" w:pos="4416"/>
          <w:tab w:val="left" w:pos="7036"/>
        </w:tabs>
        <w:snapToGrid w:val="0"/>
        <w:spacing w:line="560" w:lineRule="exact"/>
        <w:jc w:val="left"/>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当事人：广州二运集团有限公司三元里加油站</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 xml:space="preserve">统一社会信用代码：91440101MA59B2TT11 </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登记地址：广州市越秀区走马岗85号</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负责人：</w:t>
      </w:r>
      <w:r>
        <w:rPr>
          <w:rFonts w:hint="default" w:ascii="Times New Roman" w:hAnsi="Times New Roman" w:eastAsia="仿宋_GB2312" w:cs="Times New Roman"/>
          <w:b w:val="0"/>
          <w:bCs w:val="0"/>
          <w:kern w:val="2"/>
          <w:sz w:val="32"/>
          <w:szCs w:val="24"/>
          <w:lang w:val="en-US" w:eastAsia="zh-CN" w:bidi="ar-SA"/>
        </w:rPr>
        <w:fldChar w:fldCharType="begin"/>
      </w:r>
      <w:r>
        <w:rPr>
          <w:rFonts w:hint="default" w:ascii="Times New Roman" w:hAnsi="Times New Roman" w:eastAsia="仿宋_GB2312" w:cs="Times New Roman"/>
          <w:b w:val="0"/>
          <w:bCs w:val="0"/>
          <w:kern w:val="2"/>
          <w:sz w:val="32"/>
          <w:szCs w:val="24"/>
          <w:lang w:val="en-US" w:eastAsia="zh-CN" w:bidi="ar-SA"/>
        </w:rPr>
        <w:instrText xml:space="preserve"> HYPERLINK "https://www.qcc.com/pl/prf3c316ae9924d4467c4b4e41ff8b28.html" \t "https://www.qcc.com/firm/_blank" </w:instrText>
      </w:r>
      <w:r>
        <w:rPr>
          <w:rFonts w:hint="default" w:ascii="Times New Roman" w:hAnsi="Times New Roman" w:eastAsia="仿宋_GB2312" w:cs="Times New Roman"/>
          <w:b w:val="0"/>
          <w:bCs w:val="0"/>
          <w:kern w:val="2"/>
          <w:sz w:val="32"/>
          <w:szCs w:val="24"/>
          <w:lang w:val="en-US" w:eastAsia="zh-CN" w:bidi="ar-SA"/>
        </w:rPr>
        <w:fldChar w:fldCharType="separate"/>
      </w:r>
      <w:r>
        <w:rPr>
          <w:rFonts w:hint="default" w:ascii="Times New Roman" w:hAnsi="Times New Roman" w:eastAsia="仿宋_GB2312" w:cs="Times New Roman"/>
          <w:b w:val="0"/>
          <w:bCs w:val="0"/>
          <w:kern w:val="2"/>
          <w:sz w:val="32"/>
          <w:szCs w:val="24"/>
          <w:lang w:val="en-US" w:eastAsia="zh-CN" w:bidi="ar-SA"/>
        </w:rPr>
        <w:t>萧程潜</w:t>
      </w:r>
      <w:r>
        <w:rPr>
          <w:rFonts w:hint="default" w:ascii="Times New Roman" w:hAnsi="Times New Roman" w:eastAsia="仿宋_GB2312" w:cs="Times New Roman"/>
          <w:b w:val="0"/>
          <w:bCs w:val="0"/>
          <w:kern w:val="2"/>
          <w:sz w:val="32"/>
          <w:szCs w:val="24"/>
          <w:lang w:val="en-US" w:eastAsia="zh-CN" w:bidi="ar-SA"/>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p>
    <w:p>
      <w:pPr>
        <w:keepNext w:val="0"/>
        <w:keepLines w:val="0"/>
        <w:pageBreakBefore w:val="0"/>
        <w:kinsoku/>
        <w:wordWrap/>
        <w:overflowPunct/>
        <w:topLinePunct w:val="0"/>
        <w:bidi w:val="0"/>
        <w:spacing w:line="520" w:lineRule="exact"/>
        <w:ind w:firstLine="624" w:firstLineChars="200"/>
        <w:textAlignment w:val="auto"/>
        <w:rPr>
          <w:rFonts w:hint="default" w:ascii="Times New Roman" w:hAnsi="Times New Roman" w:eastAsia="仿宋_GB2312" w:cs="Times New Roman"/>
          <w:b w:val="0"/>
          <w:bCs w:val="0"/>
          <w:szCs w:val="32"/>
        </w:rPr>
      </w:pPr>
      <w:r>
        <w:rPr>
          <w:rFonts w:hint="eastAsia" w:ascii="黑体" w:hAnsi="黑体" w:eastAsia="黑体" w:cs="黑体"/>
          <w:b w:val="0"/>
          <w:bCs w:val="0"/>
          <w:szCs w:val="32"/>
        </w:rPr>
        <w:t>一、当事人基本情况及违法事实情况</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2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当事人在广州市越秀区走马岗85号从事机动车燃油零售业务，并于2020年8月4日领取《排污许可证》，《排污许可证》表12载明，当事人需要建立环境管理台账记录表，环境管理台账记录表应包括监测记录信息、生产设施运行管理信息、污染防治设施运行管理信息三种类别，每种类别信息的记录内容、记录频次、记录形式、保存期限应符合要求。2022年10月11日，我局在执法检查中，发现当事人环境管理台账中未记录监测记录信息台账，生产设施运行管理信息中加油过程油品种类及卸油过程油品种类未按照要求每季度进行记录。</w:t>
      </w:r>
      <w:r>
        <w:rPr>
          <w:rFonts w:hint="default" w:ascii="Times New Roman" w:hAnsi="Times New Roman" w:eastAsia="仿宋_GB2312" w:cs="Times New Roman"/>
          <w:sz w:val="32"/>
          <w:szCs w:val="24"/>
        </w:rPr>
        <w:t>当事人上述行为属于未按照《排污许可证》规定记录环境管理台账信息。</w:t>
      </w:r>
    </w:p>
    <w:p>
      <w:pPr>
        <w:pStyle w:val="12"/>
        <w:keepNext w:val="0"/>
        <w:keepLines w:val="0"/>
        <w:pageBreakBefore w:val="0"/>
        <w:kinsoku/>
        <w:wordWrap/>
        <w:overflowPunct/>
        <w:topLinePunct w:val="0"/>
        <w:bidi w:val="0"/>
        <w:snapToGrid w:val="0"/>
        <w:spacing w:line="52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kern w:val="2"/>
          <w:sz w:val="32"/>
          <w:szCs w:val="24"/>
          <w:lang w:val="en-US" w:eastAsia="zh-CN" w:bidi="ar-SA"/>
        </w:rPr>
        <w:t>以上事实，有《现场检查（勘验）笔录》《调查询问笔录》、现场照片等证据材料予以证实。</w:t>
      </w:r>
    </w:p>
    <w:p>
      <w:pPr>
        <w:pStyle w:val="12"/>
        <w:keepNext w:val="0"/>
        <w:keepLines w:val="0"/>
        <w:pageBreakBefore w:val="0"/>
        <w:kinsoku/>
        <w:wordWrap/>
        <w:overflowPunct/>
        <w:topLinePunct w:val="0"/>
        <w:bidi w:val="0"/>
        <w:snapToGrid w:val="0"/>
        <w:spacing w:line="520" w:lineRule="exact"/>
        <w:ind w:firstLine="624" w:firstLineChars="200"/>
        <w:textAlignment w:val="auto"/>
        <w:rPr>
          <w:rFonts w:hint="default" w:ascii="Times New Roman" w:hAnsi="Times New Roman" w:eastAsia="仿宋_GB2312" w:cs="Times New Roman"/>
          <w:b/>
          <w:bCs/>
          <w:sz w:val="32"/>
          <w:szCs w:val="32"/>
        </w:rPr>
      </w:pPr>
      <w:r>
        <w:rPr>
          <w:rFonts w:hint="eastAsia" w:ascii="黑体" w:hAnsi="黑体" w:eastAsia="黑体" w:cs="黑体"/>
          <w:b w:val="0"/>
          <w:bCs w:val="0"/>
          <w:sz w:val="32"/>
          <w:szCs w:val="32"/>
        </w:rPr>
        <w:t>二、规范依据、拟处罚告知及意见采纳情况及处罚内容</w:t>
      </w:r>
    </w:p>
    <w:p>
      <w:pPr>
        <w:pStyle w:val="6"/>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624"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kern w:val="0"/>
          <w:sz w:val="32"/>
          <w:szCs w:val="32"/>
          <w:lang w:val="en-US" w:eastAsia="zh-CN"/>
        </w:rPr>
        <w:t>当事人上述行为违反</w:t>
      </w:r>
      <w:r>
        <w:rPr>
          <w:rFonts w:hint="default" w:ascii="Times New Roman" w:hAnsi="Times New Roman" w:eastAsia="仿宋_GB2312" w:cs="Times New Roman"/>
          <w:b w:val="0"/>
          <w:bCs w:val="0"/>
          <w:color w:val="auto"/>
          <w:kern w:val="0"/>
          <w:sz w:val="32"/>
          <w:szCs w:val="32"/>
          <w:lang w:val="en-US" w:eastAsia="zh-CN"/>
        </w:rPr>
        <w:t>了《排污许可管理条例》第二十一条的规定</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lang w:val="en-US" w:eastAsia="zh-CN"/>
        </w:rPr>
        <w:t>2022年11月23日</w:t>
      </w:r>
      <w:r>
        <w:rPr>
          <w:rFonts w:hint="default" w:ascii="Times New Roman" w:hAnsi="Times New Roman" w:eastAsia="仿宋_GB2312" w:cs="Times New Roman"/>
          <w:color w:val="auto"/>
          <w:sz w:val="32"/>
          <w:szCs w:val="32"/>
          <w:highlight w:val="none"/>
        </w:rPr>
        <w:t>我</w:t>
      </w:r>
      <w:r>
        <w:rPr>
          <w:rFonts w:hint="default" w:ascii="Times New Roman" w:hAnsi="Times New Roman" w:eastAsia="仿宋_GB2312" w:cs="Times New Roman"/>
          <w:color w:val="auto"/>
          <w:sz w:val="32"/>
          <w:szCs w:val="32"/>
        </w:rPr>
        <w:t>局向当事人送达《行政处罚事先告知书》</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穗环</w:t>
      </w:r>
      <w:r>
        <w:rPr>
          <w:rFonts w:hint="default" w:ascii="Times New Roman" w:hAnsi="Times New Roman" w:eastAsia="仿宋_GB2312" w:cs="Times New Roman"/>
          <w:color w:val="auto"/>
          <w:sz w:val="32"/>
          <w:szCs w:val="32"/>
          <w:lang w:val="en-US" w:eastAsia="zh-CN"/>
        </w:rPr>
        <w:t>越</w:t>
      </w:r>
      <w:r>
        <w:rPr>
          <w:rFonts w:hint="default" w:ascii="Times New Roman" w:hAnsi="Times New Roman" w:eastAsia="仿宋_GB2312" w:cs="Times New Roman"/>
          <w:color w:val="auto"/>
          <w:sz w:val="32"/>
          <w:szCs w:val="32"/>
        </w:rPr>
        <w:t>罚告〔2022〕</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，告知当事人拟作出的处罚内容及事实、理由、依据，并告知了陈</w:t>
      </w:r>
      <w:r>
        <w:rPr>
          <w:rFonts w:hint="default" w:ascii="Times New Roman" w:hAnsi="Times New Roman" w:eastAsia="仿宋_GB2312" w:cs="Times New Roman"/>
          <w:sz w:val="32"/>
          <w:szCs w:val="32"/>
        </w:rPr>
        <w:t>述、申辩的权利。</w:t>
      </w:r>
      <w:r>
        <w:rPr>
          <w:rFonts w:hint="eastAsia" w:ascii="Times New Roman" w:hAnsi="Times New Roman" w:eastAsia="仿宋_GB2312" w:cs="Times New Roman"/>
          <w:sz w:val="32"/>
          <w:szCs w:val="32"/>
          <w:lang w:val="en-US" w:eastAsia="zh-CN"/>
        </w:rPr>
        <w:t>当事人</w:t>
      </w:r>
      <w:r>
        <w:rPr>
          <w:rFonts w:hint="eastAsia" w:eastAsia="仿宋_GB2312" w:cs="Times New Roman"/>
          <w:sz w:val="32"/>
          <w:szCs w:val="32"/>
          <w:lang w:val="en-US" w:eastAsia="zh-CN"/>
        </w:rPr>
        <w:t>提出陈述申</w:t>
      </w:r>
      <w:r>
        <w:rPr>
          <w:rFonts w:hint="eastAsia" w:ascii="Times New Roman" w:hAnsi="Times New Roman" w:eastAsia="仿宋_GB2312" w:cs="Times New Roman"/>
          <w:sz w:val="32"/>
          <w:szCs w:val="32"/>
          <w:lang w:val="en-US"/>
        </w:rPr>
        <w:t>辩意见</w:t>
      </w:r>
      <w:r>
        <w:rPr>
          <w:rFonts w:hint="eastAsia" w:eastAsia="仿宋_GB2312" w:cs="Times New Roman"/>
          <w:sz w:val="32"/>
          <w:szCs w:val="32"/>
          <w:lang w:val="en-US" w:eastAsia="zh-CN"/>
        </w:rPr>
        <w:t>：已积极落实</w:t>
      </w:r>
      <w:r>
        <w:rPr>
          <w:rFonts w:hint="default" w:ascii="Times New Roman" w:hAnsi="Times New Roman" w:eastAsia="仿宋_GB2312" w:cs="Times New Roman"/>
          <w:sz w:val="32"/>
          <w:szCs w:val="32"/>
          <w:lang w:val="en-US" w:eastAsia="zh-CN"/>
        </w:rPr>
        <w:t>整改</w:t>
      </w:r>
      <w:r>
        <w:rPr>
          <w:rFonts w:hint="eastAsia" w:eastAsia="仿宋_GB2312" w:cs="Times New Roman"/>
          <w:sz w:val="32"/>
          <w:szCs w:val="32"/>
          <w:lang w:val="en-US" w:eastAsia="zh-CN"/>
        </w:rPr>
        <w:t>，属于轻微违法，未造成实际的环境污染，请求免于处罚。</w:t>
      </w:r>
    </w:p>
    <w:p>
      <w:pPr>
        <w:pStyle w:val="12"/>
        <w:keepNext w:val="0"/>
        <w:keepLines w:val="0"/>
        <w:pageBreakBefore w:val="0"/>
        <w:kinsoku/>
        <w:wordWrap/>
        <w:overflowPunct/>
        <w:topLinePunct w:val="0"/>
        <w:bidi w:val="0"/>
        <w:snapToGrid w:val="0"/>
        <w:spacing w:line="520" w:lineRule="exact"/>
        <w:ind w:firstLine="62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我局认为，</w:t>
      </w:r>
      <w:r>
        <w:rPr>
          <w:rFonts w:hint="default" w:ascii="Times New Roman" w:hAnsi="Times New Roman" w:eastAsia="仿宋_GB2312" w:cs="Times New Roman"/>
          <w:sz w:val="32"/>
          <w:szCs w:val="32"/>
          <w:highlight w:val="none"/>
        </w:rPr>
        <w:t>当事人确有</w:t>
      </w:r>
      <w:r>
        <w:rPr>
          <w:rFonts w:hint="default" w:ascii="Times New Roman" w:hAnsi="Times New Roman" w:eastAsia="仿宋_GB2312" w:cs="Times New Roman"/>
          <w:sz w:val="32"/>
          <w:szCs w:val="24"/>
        </w:rPr>
        <w:t>未按照《排污许可证》规定记录环境管理台账信息</w:t>
      </w:r>
      <w:r>
        <w:rPr>
          <w:rFonts w:hint="default" w:ascii="Times New Roman" w:hAnsi="Times New Roman" w:eastAsia="仿宋_GB2312" w:cs="Times New Roman"/>
          <w:sz w:val="32"/>
          <w:szCs w:val="32"/>
          <w:highlight w:val="none"/>
        </w:rPr>
        <w:t>的违法行为</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违法行为持续时间超过20日，不满足《广东省生态环境不予行政处罚的轻微违法行为目录》第20规定的不予处罚条件，决定不采纳当事人陈述、申辩意见。</w:t>
      </w:r>
      <w:r>
        <w:rPr>
          <w:rFonts w:hint="default" w:ascii="Times New Roman" w:hAnsi="Times New Roman" w:eastAsia="仿宋_GB2312" w:cs="Times New Roman"/>
          <w:kern w:val="2"/>
          <w:sz w:val="32"/>
          <w:szCs w:val="24"/>
          <w:lang w:val="en-US" w:eastAsia="zh-CN" w:bidi="ar-SA"/>
        </w:rPr>
        <w:t>鉴于当事人积极整改，可</w:t>
      </w:r>
      <w:r>
        <w:rPr>
          <w:rFonts w:hint="default" w:ascii="Times New Roman" w:hAnsi="Times New Roman" w:eastAsia="仿宋_GB2312" w:cs="Times New Roman"/>
          <w:sz w:val="32"/>
          <w:szCs w:val="32"/>
          <w:highlight w:val="none"/>
          <w:lang w:val="en-US" w:eastAsia="zh-CN"/>
        </w:rPr>
        <w:t>从轻处罚。现本案经我局审查结束。</w:t>
      </w:r>
    </w:p>
    <w:p>
      <w:pPr>
        <w:pStyle w:val="12"/>
        <w:keepNext w:val="0"/>
        <w:keepLines w:val="0"/>
        <w:pageBreakBefore w:val="0"/>
        <w:kinsoku/>
        <w:wordWrap/>
        <w:overflowPunct/>
        <w:topLinePunct w:val="0"/>
        <w:bidi w:val="0"/>
        <w:snapToGrid w:val="0"/>
        <w:spacing w:line="52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rPr>
        <w:t>根据《排污许可管理条例》第三十七条第一项和《广州市规范生态环境行政处罚自由裁量权规定》第十一条第二款第二项、第三项、《广东省生态环境违法行为行政处罚罚款金额裁量表》</w:t>
      </w:r>
      <w:r>
        <w:rPr>
          <w:rFonts w:hint="eastAsia" w:eastAsia="仿宋_GB2312" w:cs="Times New Roman"/>
          <w:b w:val="0"/>
          <w:bCs w:val="0"/>
          <w:kern w:val="0"/>
          <w:sz w:val="32"/>
          <w:szCs w:val="32"/>
          <w:lang w:val="en-US" w:eastAsia="zh-CN"/>
        </w:rPr>
        <w:t>附件</w:t>
      </w:r>
      <w:r>
        <w:rPr>
          <w:rFonts w:hint="default" w:ascii="Times New Roman" w:hAnsi="Times New Roman" w:eastAsia="仿宋_GB2312" w:cs="Times New Roman"/>
          <w:b w:val="0"/>
          <w:bCs w:val="0"/>
          <w:kern w:val="0"/>
          <w:sz w:val="32"/>
          <w:szCs w:val="32"/>
          <w:lang w:val="en-US" w:eastAsia="zh-CN"/>
        </w:rPr>
        <w:t>1§8.36的规定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widowControl w:val="0"/>
        <w:numPr>
          <w:ilvl w:val="0"/>
          <w:numId w:val="0"/>
        </w:numPr>
        <w:tabs>
          <w:tab w:val="left" w:pos="7982"/>
        </w:tabs>
        <w:kinsoku/>
        <w:wordWrap/>
        <w:overflowPunct/>
        <w:topLinePunct w:val="0"/>
        <w:autoSpaceDE/>
        <w:autoSpaceDN/>
        <w:bidi w:val="0"/>
        <w:adjustRightInd/>
        <w:snapToGrid/>
        <w:spacing w:line="520" w:lineRule="exact"/>
        <w:ind w:right="0" w:rightChars="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1、责令</w:t>
      </w:r>
      <w:r>
        <w:rPr>
          <w:rFonts w:hint="default" w:ascii="Times New Roman" w:hAnsi="Times New Roman" w:eastAsia="仿宋_GB2312" w:cs="Times New Roman"/>
          <w:color w:val="auto"/>
          <w:kern w:val="2"/>
          <w:sz w:val="32"/>
          <w:szCs w:val="24"/>
          <w:lang w:val="en-US" w:eastAsia="zh-CN" w:bidi="ar-SA"/>
        </w:rPr>
        <w:t>立即改正违法行为；</w:t>
      </w:r>
    </w:p>
    <w:p>
      <w:pPr>
        <w:keepNext w:val="0"/>
        <w:keepLines w:val="0"/>
        <w:pageBreakBefore w:val="0"/>
        <w:kinsoku/>
        <w:wordWrap/>
        <w:overflowPunct/>
        <w:topLinePunct w:val="0"/>
        <w:bidi w:val="0"/>
        <w:spacing w:line="520" w:lineRule="exact"/>
        <w:ind w:firstLine="624"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2、罚款</w:t>
      </w:r>
      <w:r>
        <w:rPr>
          <w:rFonts w:hint="eastAsia" w:eastAsia="仿宋_GB2312" w:cs="Times New Roman"/>
          <w:color w:val="auto"/>
          <w:kern w:val="2"/>
          <w:sz w:val="32"/>
          <w:szCs w:val="24"/>
          <w:lang w:val="en-US" w:eastAsia="zh-CN" w:bidi="ar-SA"/>
        </w:rPr>
        <w:t>人民币</w:t>
      </w:r>
      <w:r>
        <w:rPr>
          <w:rFonts w:hint="default" w:ascii="Times New Roman" w:hAnsi="Times New Roman" w:eastAsia="仿宋_GB2312" w:cs="Times New Roman"/>
          <w:color w:val="auto"/>
          <w:kern w:val="2"/>
          <w:sz w:val="32"/>
          <w:szCs w:val="24"/>
          <w:lang w:val="en-US" w:eastAsia="zh-CN" w:bidi="ar-SA"/>
        </w:rPr>
        <w:t>伍仟元整（</w:t>
      </w:r>
      <w:r>
        <w:rPr>
          <w:rFonts w:hint="eastAsia" w:eastAsia="仿宋_GB2312" w:cs="Times New Roman"/>
          <w:color w:val="auto"/>
          <w:kern w:val="2"/>
          <w:sz w:val="32"/>
          <w:szCs w:val="24"/>
          <w:lang w:val="en-US" w:eastAsia="zh-CN" w:bidi="ar-SA"/>
        </w:rPr>
        <w:t>¥</w:t>
      </w:r>
      <w:r>
        <w:rPr>
          <w:rFonts w:hint="default" w:ascii="Times New Roman" w:hAnsi="Times New Roman" w:eastAsia="仿宋_GB2312" w:cs="Times New Roman"/>
          <w:b w:val="0"/>
          <w:bCs w:val="0"/>
          <w:color w:val="auto"/>
          <w:kern w:val="0"/>
          <w:sz w:val="32"/>
          <w:szCs w:val="32"/>
          <w:lang w:val="en-US" w:eastAsia="zh-CN"/>
        </w:rPr>
        <w:t>5000</w:t>
      </w:r>
      <w:r>
        <w:rPr>
          <w:rFonts w:hint="eastAsia" w:eastAsia="仿宋_GB2312" w:cs="Times New Roman"/>
          <w:b w:val="0"/>
          <w:bCs w:val="0"/>
          <w:color w:val="auto"/>
          <w:kern w:val="0"/>
          <w:sz w:val="32"/>
          <w:szCs w:val="32"/>
          <w:lang w:val="en-US" w:eastAsia="zh-CN"/>
        </w:rPr>
        <w:t>.00</w:t>
      </w:r>
      <w:r>
        <w:rPr>
          <w:rFonts w:hint="default"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w:t>
      </w:r>
    </w:p>
    <w:p>
      <w:pPr>
        <w:keepNext w:val="0"/>
        <w:keepLines w:val="0"/>
        <w:pageBreakBefore w:val="0"/>
        <w:kinsoku/>
        <w:wordWrap/>
        <w:overflowPunct/>
        <w:topLinePunct w:val="0"/>
        <w:bidi w:val="0"/>
        <w:spacing w:line="520" w:lineRule="exact"/>
        <w:ind w:firstLine="624" w:firstLineChars="200"/>
        <w:textAlignment w:val="auto"/>
        <w:rPr>
          <w:rFonts w:hint="default" w:ascii="Times New Roman" w:hAnsi="Times New Roman" w:eastAsia="仿宋_GB2312" w:cs="Times New Roman"/>
          <w:b/>
          <w:bCs/>
          <w:szCs w:val="32"/>
        </w:rPr>
      </w:pPr>
      <w:r>
        <w:rPr>
          <w:rFonts w:hint="eastAsia" w:ascii="黑体" w:hAnsi="黑体" w:eastAsia="黑体" w:cs="黑体"/>
          <w:b w:val="0"/>
          <w:bCs w:val="0"/>
          <w:szCs w:val="32"/>
        </w:rPr>
        <w:t>三、处罚内容的履行要求和当事人的救济权利</w:t>
      </w:r>
    </w:p>
    <w:p>
      <w:pPr>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eastAsia"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eastAsia"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2"/>
        <w:keepNext w:val="0"/>
        <w:keepLines w:val="0"/>
        <w:pageBreakBefore w:val="0"/>
        <w:kinsoku/>
        <w:wordWrap/>
        <w:overflowPunct/>
        <w:topLinePunct w:val="0"/>
        <w:bidi w:val="0"/>
        <w:snapToGrid w:val="0"/>
        <w:spacing w:line="52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1"/>
        <w:keepNext w:val="0"/>
        <w:keepLines w:val="0"/>
        <w:pageBreakBefore w:val="0"/>
        <w:kinsoku/>
        <w:wordWrap/>
        <w:overflowPunct/>
        <w:topLinePunct w:val="0"/>
        <w:bidi w:val="0"/>
        <w:snapToGrid w:val="0"/>
        <w:spacing w:line="520" w:lineRule="exact"/>
        <w:textAlignment w:val="auto"/>
        <w:rPr>
          <w:rFonts w:hint="default" w:ascii="Times New Roman" w:hAnsi="Times New Roman" w:eastAsia="仿宋_GB2312" w:cs="Times New Roman"/>
          <w:sz w:val="32"/>
          <w:szCs w:val="32"/>
        </w:rPr>
      </w:pPr>
    </w:p>
    <w:p>
      <w:pPr>
        <w:keepNext w:val="0"/>
        <w:keepLines w:val="0"/>
        <w:pageBreakBefore w:val="0"/>
        <w:tabs>
          <w:tab w:val="left" w:pos="0"/>
        </w:tabs>
        <w:kinsoku/>
        <w:wordWrap/>
        <w:overflowPunct/>
        <w:topLinePunct w:val="0"/>
        <w:bidi w:val="0"/>
        <w:snapToGrid w:val="0"/>
        <w:spacing w:line="520" w:lineRule="exact"/>
        <w:ind w:right="1244" w:firstLine="622"/>
        <w:jc w:val="lef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keepNext w:val="0"/>
        <w:keepLines w:val="0"/>
        <w:pageBreakBefore w:val="0"/>
        <w:tabs>
          <w:tab w:val="left" w:pos="0"/>
        </w:tabs>
        <w:kinsoku/>
        <w:wordWrap/>
        <w:overflowPunct/>
        <w:topLinePunct w:val="0"/>
        <w:bidi w:val="0"/>
        <w:snapToGrid w:val="0"/>
        <w:spacing w:line="520" w:lineRule="exact"/>
        <w:ind w:right="1685" w:rightChars="0" w:firstLine="610"/>
        <w:jc w:val="right"/>
        <w:textAlignment w:val="auto"/>
        <w:rPr>
          <w:rFonts w:hint="default" w:ascii="Times New Roman" w:hAnsi="Times New Roman" w:cs="Times New Roman"/>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eastAsia" w:eastAsia="仿宋_GB2312" w:cs="Times New Roman"/>
          <w:spacing w:val="-6"/>
          <w:szCs w:val="32"/>
          <w:lang w:val="en-US" w:eastAsia="zh-CN"/>
        </w:rPr>
        <w:t>12</w:t>
      </w:r>
      <w:r>
        <w:rPr>
          <w:rFonts w:hint="default" w:ascii="Times New Roman" w:hAnsi="Times New Roman" w:eastAsia="仿宋_GB2312" w:cs="Times New Roman"/>
          <w:spacing w:val="-6"/>
          <w:szCs w:val="32"/>
        </w:rPr>
        <w:t>月</w:t>
      </w:r>
      <w:r>
        <w:rPr>
          <w:rFonts w:hint="eastAsia" w:eastAsia="仿宋_GB2312" w:cs="Times New Roman"/>
          <w:spacing w:val="-6"/>
          <w:szCs w:val="32"/>
          <w:lang w:val="en-US" w:eastAsia="zh-CN"/>
        </w:rPr>
        <w:t>30</w:t>
      </w:r>
      <w:r>
        <w:rPr>
          <w:rFonts w:hint="default" w:ascii="Times New Roman" w:hAnsi="Times New Roman" w:eastAsia="仿宋_GB2312" w:cs="Times New Roman"/>
          <w:spacing w:val="-6"/>
          <w:szCs w:val="32"/>
        </w:rPr>
        <w:t>日</w:t>
      </w:r>
    </w:p>
    <w:p>
      <w:pPr>
        <w:pStyle w:val="2"/>
        <w:keepNext w:val="0"/>
        <w:keepLines w:val="0"/>
        <w:pageBreakBefore w:val="0"/>
        <w:kinsoku/>
        <w:wordWrap/>
        <w:overflowPunct/>
        <w:topLinePunct w:val="0"/>
        <w:bidi w:val="0"/>
        <w:spacing w:line="520" w:lineRule="exact"/>
        <w:textAlignment w:val="auto"/>
        <w:rPr>
          <w:rFonts w:hint="default" w:ascii="Times New Roman" w:hAnsi="Times New Roman" w:cs="Times New Roman"/>
        </w:rPr>
      </w:pPr>
    </w:p>
    <w:p>
      <w:pPr>
        <w:keepNext w:val="0"/>
        <w:keepLines w:val="0"/>
        <w:pageBreakBefore w:val="0"/>
        <w:kinsoku/>
        <w:wordWrap/>
        <w:overflowPunct/>
        <w:topLinePunct w:val="0"/>
        <w:bidi w:val="0"/>
        <w:snapToGrid/>
        <w:spacing w:line="52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联系地址：广州市西华路第一津街50、52号首层、二层和人民北路863号首层</w:t>
      </w:r>
    </w:p>
    <w:p>
      <w:pPr>
        <w:keepNext w:val="0"/>
        <w:keepLines w:val="0"/>
        <w:pageBreakBefore w:val="0"/>
        <w:kinsoku/>
        <w:wordWrap/>
        <w:overflowPunct/>
        <w:topLinePunct w:val="0"/>
        <w:bidi w:val="0"/>
        <w:snapToGrid/>
        <w:spacing w:line="520" w:lineRule="exact"/>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电话：8107506</w:t>
      </w:r>
      <w:r>
        <w:rPr>
          <w:rFonts w:hint="eastAsia" w:ascii="Times New Roman" w:hAnsi="Times New Roman" w:eastAsia="仿宋_GB2312" w:cs="Times New Roman"/>
          <w:sz w:val="32"/>
          <w:szCs w:val="32"/>
          <w:lang w:val="en-US" w:eastAsia="zh-CN"/>
        </w:rPr>
        <w:t>3</w:t>
      </w:r>
    </w:p>
    <w:p>
      <w:pPr>
        <w:keepNext w:val="0"/>
        <w:keepLines w:val="0"/>
        <w:pageBreakBefore w:val="0"/>
        <w:kinsoku/>
        <w:wordWrap/>
        <w:overflowPunct/>
        <w:topLinePunct w:val="0"/>
        <w:bidi w:val="0"/>
        <w:snapToGrid/>
        <w:spacing w:line="52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44622FC"/>
    <w:rsid w:val="07774D82"/>
    <w:rsid w:val="0F767B5E"/>
    <w:rsid w:val="0F774915"/>
    <w:rsid w:val="102864F3"/>
    <w:rsid w:val="1147511C"/>
    <w:rsid w:val="11663B40"/>
    <w:rsid w:val="14A44A93"/>
    <w:rsid w:val="14CA162C"/>
    <w:rsid w:val="16485461"/>
    <w:rsid w:val="178A00BC"/>
    <w:rsid w:val="17D365AD"/>
    <w:rsid w:val="18554D66"/>
    <w:rsid w:val="18DB1426"/>
    <w:rsid w:val="18E92AD3"/>
    <w:rsid w:val="190E235D"/>
    <w:rsid w:val="19133DF5"/>
    <w:rsid w:val="1AAD7638"/>
    <w:rsid w:val="1D8322EB"/>
    <w:rsid w:val="20835FE5"/>
    <w:rsid w:val="21E116E9"/>
    <w:rsid w:val="220C2BF9"/>
    <w:rsid w:val="24B00011"/>
    <w:rsid w:val="252048E7"/>
    <w:rsid w:val="26491CC7"/>
    <w:rsid w:val="26A24FFF"/>
    <w:rsid w:val="29B43D8C"/>
    <w:rsid w:val="2A2E2644"/>
    <w:rsid w:val="2CE86127"/>
    <w:rsid w:val="2EE47719"/>
    <w:rsid w:val="30100770"/>
    <w:rsid w:val="316E4B4B"/>
    <w:rsid w:val="325334D9"/>
    <w:rsid w:val="325524D0"/>
    <w:rsid w:val="3415372C"/>
    <w:rsid w:val="36532C98"/>
    <w:rsid w:val="3742594E"/>
    <w:rsid w:val="399E3751"/>
    <w:rsid w:val="3E150A4D"/>
    <w:rsid w:val="3F070082"/>
    <w:rsid w:val="422C52AC"/>
    <w:rsid w:val="43445B0D"/>
    <w:rsid w:val="4390345E"/>
    <w:rsid w:val="450A79D4"/>
    <w:rsid w:val="474A5481"/>
    <w:rsid w:val="4841503A"/>
    <w:rsid w:val="4AC9030B"/>
    <w:rsid w:val="4AD50306"/>
    <w:rsid w:val="4BBD430C"/>
    <w:rsid w:val="4D716B95"/>
    <w:rsid w:val="4DAF6A99"/>
    <w:rsid w:val="4E992A41"/>
    <w:rsid w:val="4F2F144C"/>
    <w:rsid w:val="4F3E1360"/>
    <w:rsid w:val="4FD76719"/>
    <w:rsid w:val="522F3B92"/>
    <w:rsid w:val="523F35B1"/>
    <w:rsid w:val="52BF1D03"/>
    <w:rsid w:val="55461821"/>
    <w:rsid w:val="55675FC3"/>
    <w:rsid w:val="56927BEA"/>
    <w:rsid w:val="58312C48"/>
    <w:rsid w:val="58A91E0C"/>
    <w:rsid w:val="5C4D38DD"/>
    <w:rsid w:val="60D13E7D"/>
    <w:rsid w:val="60D95FD5"/>
    <w:rsid w:val="613E122E"/>
    <w:rsid w:val="614875D2"/>
    <w:rsid w:val="63576AF7"/>
    <w:rsid w:val="642914B0"/>
    <w:rsid w:val="65420791"/>
    <w:rsid w:val="66D60D84"/>
    <w:rsid w:val="67420201"/>
    <w:rsid w:val="6919258D"/>
    <w:rsid w:val="6A912FA9"/>
    <w:rsid w:val="6AB63499"/>
    <w:rsid w:val="6B1A1FD9"/>
    <w:rsid w:val="6BDF672B"/>
    <w:rsid w:val="6C643F65"/>
    <w:rsid w:val="6C7A66EF"/>
    <w:rsid w:val="6EAA5876"/>
    <w:rsid w:val="6EC42D8B"/>
    <w:rsid w:val="6F306579"/>
    <w:rsid w:val="70072F1F"/>
    <w:rsid w:val="703B18DD"/>
    <w:rsid w:val="720C221D"/>
    <w:rsid w:val="748A146D"/>
    <w:rsid w:val="75C25AE0"/>
    <w:rsid w:val="76D00FDF"/>
    <w:rsid w:val="77240600"/>
    <w:rsid w:val="773D7A97"/>
    <w:rsid w:val="78D91BC5"/>
    <w:rsid w:val="79405E12"/>
    <w:rsid w:val="7A3401F3"/>
    <w:rsid w:val="7AB20F74"/>
    <w:rsid w:val="7C281D37"/>
    <w:rsid w:val="7EB86893"/>
    <w:rsid w:val="7EF76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4"/>
    <w:qFormat/>
    <w:uiPriority w:val="0"/>
    <w:rPr>
      <w:rFonts w:hint="default" w:eastAsia="宋体"/>
      <w:sz w:val="30"/>
      <w:szCs w:val="30"/>
    </w:rPr>
  </w:style>
  <w:style w:type="paragraph" w:styleId="5">
    <w:name w:val="footer"/>
    <w:basedOn w:val="1"/>
    <w:link w:val="15"/>
    <w:qFormat/>
    <w:uiPriority w:val="0"/>
    <w:pPr>
      <w:tabs>
        <w:tab w:val="center" w:pos="4153"/>
        <w:tab w:val="right" w:pos="8306"/>
      </w:tabs>
      <w:snapToGrid w:val="0"/>
      <w:jc w:val="left"/>
    </w:pPr>
    <w:rPr>
      <w:rFonts w:hint="default" w:ascii="宋体" w:hAnsi="宋体" w:eastAsia="汉鼎简书宋"/>
      <w:kern w:val="0"/>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unhideWhenUsed/>
    <w:qFormat/>
    <w:uiPriority w:val="99"/>
    <w:rPr>
      <w:color w:val="0000FF"/>
      <w:u w:val="single"/>
    </w:rPr>
  </w:style>
  <w:style w:type="paragraph" w:customStyle="1" w:styleId="10">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正文文本字符"/>
    <w:basedOn w:val="8"/>
    <w:link w:val="4"/>
    <w:qFormat/>
    <w:uiPriority w:val="0"/>
    <w:rPr>
      <w:rFonts w:ascii="Times New Roman" w:hAnsi="Times New Roman"/>
      <w:kern w:val="2"/>
      <w:sz w:val="30"/>
      <w:szCs w:val="30"/>
    </w:rPr>
  </w:style>
  <w:style w:type="character" w:customStyle="1" w:styleId="15">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1485</Words>
  <Characters>1610</Characters>
  <Lines>10</Lines>
  <Paragraphs>3</Paragraphs>
  <TotalTime>3</TotalTime>
  <ScaleCrop>false</ScaleCrop>
  <LinksUpToDate>false</LinksUpToDate>
  <CharactersWithSpaces>1684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2023-01-03T01:42:00Z</cp:lastPrinted>
  <dcterms:modified xsi:type="dcterms:W3CDTF">2023-01-03T02:40:33Z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