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napToGrid w:val="0"/>
        <w:spacing w:line="560" w:lineRule="exact"/>
        <w:jc w:val="center"/>
        <w:rPr>
          <w:rFonts w:hint="default" w:ascii="Times New Roman" w:hAnsi="Times New Roman" w:eastAsia="方正小标宋" w:cs="Times New Roman"/>
          <w:b/>
          <w:bCs/>
          <w:sz w:val="44"/>
          <w:szCs w:val="44"/>
        </w:rPr>
      </w:pPr>
    </w:p>
    <w:p>
      <w:pPr>
        <w:pStyle w:val="10"/>
        <w:snapToGrid w:val="0"/>
        <w:spacing w:line="560" w:lineRule="exact"/>
        <w:jc w:val="center"/>
        <w:rPr>
          <w:rFonts w:hint="default" w:ascii="Times New Roman" w:hAnsi="Times New Roman" w:eastAsia="方正小标宋" w:cs="Times New Roman"/>
          <w:b/>
          <w:bCs/>
          <w:sz w:val="44"/>
          <w:szCs w:val="44"/>
        </w:rPr>
      </w:pPr>
    </w:p>
    <w:p>
      <w:pPr>
        <w:pStyle w:val="10"/>
        <w:snapToGrid w:val="0"/>
        <w:spacing w:line="560" w:lineRule="exact"/>
        <w:jc w:val="center"/>
        <w:rPr>
          <w:rFonts w:hint="default" w:ascii="Times New Roman" w:hAnsi="Times New Roman" w:eastAsia="方正小标宋" w:cs="Times New Roman"/>
          <w:b/>
          <w:bCs/>
          <w:sz w:val="44"/>
          <w:szCs w:val="44"/>
        </w:rPr>
      </w:pPr>
      <w:r>
        <w:rPr>
          <w:rFonts w:hint="default" w:ascii="Times New Roman" w:hAnsi="Times New Roman" w:eastAsia="方正小标宋" w:cs="Times New Roman"/>
          <w:b/>
          <w:bCs/>
          <w:sz w:val="44"/>
          <w:szCs w:val="44"/>
        </w:rPr>
        <w:t>行政处罚决定书</w:t>
      </w:r>
    </w:p>
    <w:p>
      <w:pPr>
        <w:tabs>
          <w:tab w:val="center" w:pos="4416"/>
          <w:tab w:val="left" w:pos="7036"/>
        </w:tabs>
        <w:snapToGrid w:val="0"/>
        <w:spacing w:line="560" w:lineRule="exact"/>
        <w:jc w:val="right"/>
        <w:rPr>
          <w:rFonts w:hint="default" w:ascii="Times New Roman" w:hAnsi="Times New Roman" w:eastAsia="仿宋_GB2312" w:cs="Times New Roman"/>
          <w:szCs w:val="32"/>
        </w:rPr>
      </w:pPr>
      <w:r>
        <w:rPr>
          <w:rFonts w:hint="default" w:ascii="Times New Roman" w:hAnsi="Times New Roman" w:eastAsia="仿宋_GB2312" w:cs="Times New Roman"/>
          <w:kern w:val="2"/>
          <w:sz w:val="32"/>
          <w:szCs w:val="32"/>
          <w:lang w:val="en-US" w:eastAsia="zh-CN" w:bidi="ar-SA"/>
        </w:rPr>
        <w:t>穗环（越）法罚〔2022〕</w:t>
      </w:r>
      <w:r>
        <w:rPr>
          <w:rFonts w:hint="eastAsia" w:eastAsia="仿宋_GB2312" w:cs="Times New Roman"/>
          <w:kern w:val="2"/>
          <w:sz w:val="32"/>
          <w:szCs w:val="32"/>
          <w:lang w:val="en-US" w:eastAsia="zh-CN" w:bidi="ar-SA"/>
        </w:rPr>
        <w:t>12</w:t>
      </w:r>
      <w:r>
        <w:rPr>
          <w:rFonts w:hint="default" w:ascii="Times New Roman" w:hAnsi="Times New Roman" w:eastAsia="仿宋_GB2312" w:cs="Times New Roman"/>
          <w:kern w:val="2"/>
          <w:sz w:val="32"/>
          <w:szCs w:val="32"/>
          <w:lang w:val="en-US" w:eastAsia="zh-CN" w:bidi="ar-SA"/>
        </w:rPr>
        <w:t>号</w:t>
      </w:r>
    </w:p>
    <w:p>
      <w:pPr>
        <w:keepNext w:val="0"/>
        <w:keepLines w:val="0"/>
        <w:pageBreakBefore w:val="0"/>
        <w:tabs>
          <w:tab w:val="center" w:pos="4416"/>
          <w:tab w:val="left" w:pos="7036"/>
        </w:tabs>
        <w:kinsoku/>
        <w:wordWrap/>
        <w:overflowPunct/>
        <w:topLinePunct w:val="0"/>
        <w:bidi w:val="0"/>
        <w:snapToGrid w:val="0"/>
        <w:spacing w:line="520" w:lineRule="exact"/>
        <w:jc w:val="left"/>
        <w:textAlignment w:val="auto"/>
        <w:rPr>
          <w:rFonts w:hint="default" w:ascii="Times New Roman" w:hAnsi="Times New Roman" w:eastAsia="仿宋_GB2312" w:cs="Times New Roman"/>
          <w:szCs w:val="30"/>
        </w:rPr>
      </w:pPr>
      <w:r>
        <w:rPr>
          <w:rFonts w:hint="default" w:ascii="Times New Roman" w:hAnsi="Times New Roman" w:eastAsia="仿宋_GB2312" w:cs="Times New Roman"/>
          <w:szCs w:val="32"/>
        </w:rPr>
        <w:tab/>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20" w:lineRule="exact"/>
        <w:ind w:right="0"/>
        <w:jc w:val="both"/>
        <w:textAlignment w:val="auto"/>
        <w:rPr>
          <w:rFonts w:hint="default" w:ascii="Times New Roman" w:hAnsi="Times New Roman" w:eastAsia="仿宋_GB2312" w:cs="Times New Roman"/>
          <w:b w:val="0"/>
          <w:bCs w:val="0"/>
          <w:kern w:val="2"/>
          <w:sz w:val="32"/>
          <w:szCs w:val="24"/>
          <w:lang w:val="en-US" w:eastAsia="zh-CN" w:bidi="ar-SA"/>
        </w:rPr>
      </w:pPr>
      <w:r>
        <w:rPr>
          <w:rFonts w:hint="default" w:ascii="Times New Roman" w:hAnsi="Times New Roman" w:eastAsia="仿宋_GB2312" w:cs="Times New Roman"/>
          <w:b w:val="0"/>
          <w:bCs w:val="0"/>
          <w:kern w:val="2"/>
          <w:sz w:val="32"/>
          <w:szCs w:val="24"/>
          <w:lang w:val="en-US" w:eastAsia="zh-CN" w:bidi="ar-SA"/>
        </w:rPr>
        <w:t>当事人：广州二运集团有限公司三元里加油站</w:t>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20" w:lineRule="exact"/>
        <w:ind w:right="0"/>
        <w:jc w:val="both"/>
        <w:textAlignment w:val="auto"/>
        <w:rPr>
          <w:rFonts w:hint="default" w:ascii="Times New Roman" w:hAnsi="Times New Roman" w:eastAsia="仿宋_GB2312" w:cs="Times New Roman"/>
          <w:b w:val="0"/>
          <w:bCs w:val="0"/>
          <w:kern w:val="2"/>
          <w:sz w:val="32"/>
          <w:szCs w:val="24"/>
          <w:lang w:val="en-US" w:eastAsia="zh-CN" w:bidi="ar-SA"/>
        </w:rPr>
      </w:pPr>
      <w:r>
        <w:rPr>
          <w:rFonts w:hint="default" w:ascii="Times New Roman" w:hAnsi="Times New Roman" w:eastAsia="仿宋_GB2312" w:cs="Times New Roman"/>
          <w:b w:val="0"/>
          <w:bCs w:val="0"/>
          <w:kern w:val="2"/>
          <w:sz w:val="32"/>
          <w:szCs w:val="24"/>
          <w:lang w:val="en-US" w:eastAsia="zh-CN" w:bidi="ar-SA"/>
        </w:rPr>
        <w:t xml:space="preserve">统一社会信用代码：91440101MA59B2TT11 </w:t>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20" w:lineRule="exact"/>
        <w:ind w:right="0"/>
        <w:jc w:val="both"/>
        <w:textAlignment w:val="auto"/>
        <w:rPr>
          <w:rFonts w:hint="default" w:ascii="Times New Roman" w:hAnsi="Times New Roman" w:eastAsia="仿宋_GB2312" w:cs="Times New Roman"/>
          <w:b w:val="0"/>
          <w:bCs w:val="0"/>
          <w:kern w:val="2"/>
          <w:sz w:val="32"/>
          <w:szCs w:val="24"/>
          <w:lang w:val="en-US" w:eastAsia="zh-CN" w:bidi="ar-SA"/>
        </w:rPr>
      </w:pPr>
      <w:r>
        <w:rPr>
          <w:rFonts w:hint="default" w:ascii="Times New Roman" w:hAnsi="Times New Roman" w:eastAsia="仿宋_GB2312" w:cs="Times New Roman"/>
          <w:b w:val="0"/>
          <w:bCs w:val="0"/>
          <w:kern w:val="2"/>
          <w:sz w:val="32"/>
          <w:szCs w:val="24"/>
          <w:lang w:val="en-US" w:eastAsia="zh-CN" w:bidi="ar-SA"/>
        </w:rPr>
        <w:t>登记地址：广州市越秀区走马岗85号</w:t>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20" w:lineRule="exact"/>
        <w:ind w:right="0"/>
        <w:jc w:val="both"/>
        <w:textAlignment w:val="auto"/>
        <w:rPr>
          <w:rFonts w:hint="default" w:ascii="Times New Roman" w:hAnsi="Times New Roman" w:eastAsia="仿宋_GB2312" w:cs="Times New Roman"/>
          <w:b w:val="0"/>
          <w:bCs w:val="0"/>
          <w:kern w:val="2"/>
          <w:sz w:val="32"/>
          <w:szCs w:val="24"/>
          <w:lang w:val="en-US" w:eastAsia="zh-CN" w:bidi="ar-SA"/>
        </w:rPr>
      </w:pPr>
      <w:r>
        <w:rPr>
          <w:rFonts w:hint="default" w:ascii="Times New Roman" w:hAnsi="Times New Roman" w:eastAsia="仿宋_GB2312" w:cs="Times New Roman"/>
          <w:b w:val="0"/>
          <w:bCs w:val="0"/>
          <w:kern w:val="2"/>
          <w:sz w:val="32"/>
          <w:szCs w:val="24"/>
          <w:lang w:val="en-US" w:eastAsia="zh-CN" w:bidi="ar-SA"/>
        </w:rPr>
        <w:t>负责人：</w:t>
      </w:r>
      <w:r>
        <w:rPr>
          <w:rFonts w:hint="default" w:ascii="Times New Roman" w:hAnsi="Times New Roman" w:eastAsia="仿宋_GB2312" w:cs="Times New Roman"/>
          <w:b w:val="0"/>
          <w:bCs w:val="0"/>
          <w:kern w:val="2"/>
          <w:sz w:val="32"/>
          <w:szCs w:val="24"/>
          <w:lang w:val="en-US" w:eastAsia="zh-CN" w:bidi="ar-SA"/>
        </w:rPr>
        <w:fldChar w:fldCharType="begin"/>
      </w:r>
      <w:r>
        <w:rPr>
          <w:rFonts w:hint="default" w:ascii="Times New Roman" w:hAnsi="Times New Roman" w:eastAsia="仿宋_GB2312" w:cs="Times New Roman"/>
          <w:b w:val="0"/>
          <w:bCs w:val="0"/>
          <w:kern w:val="2"/>
          <w:sz w:val="32"/>
          <w:szCs w:val="24"/>
          <w:lang w:val="en-US" w:eastAsia="zh-CN" w:bidi="ar-SA"/>
        </w:rPr>
        <w:instrText xml:space="preserve"> HYPERLINK "https://www.qcc.com/pl/prf3c316ae9924d4467c4b4e41ff8b28.html" \t "https://www.qcc.com/firm/_blank" </w:instrText>
      </w:r>
      <w:r>
        <w:rPr>
          <w:rFonts w:hint="default" w:ascii="Times New Roman" w:hAnsi="Times New Roman" w:eastAsia="仿宋_GB2312" w:cs="Times New Roman"/>
          <w:b w:val="0"/>
          <w:bCs w:val="0"/>
          <w:kern w:val="2"/>
          <w:sz w:val="32"/>
          <w:szCs w:val="24"/>
          <w:lang w:val="en-US" w:eastAsia="zh-CN" w:bidi="ar-SA"/>
        </w:rPr>
        <w:fldChar w:fldCharType="separate"/>
      </w:r>
      <w:r>
        <w:rPr>
          <w:rFonts w:hint="default" w:ascii="Times New Roman" w:hAnsi="Times New Roman" w:eastAsia="仿宋_GB2312" w:cs="Times New Roman"/>
          <w:b w:val="0"/>
          <w:bCs w:val="0"/>
          <w:kern w:val="2"/>
          <w:sz w:val="32"/>
          <w:szCs w:val="24"/>
          <w:lang w:val="en-US" w:eastAsia="zh-CN" w:bidi="ar-SA"/>
        </w:rPr>
        <w:t>萧程潜</w:t>
      </w:r>
      <w:r>
        <w:rPr>
          <w:rFonts w:hint="default" w:ascii="Times New Roman" w:hAnsi="Times New Roman" w:eastAsia="仿宋_GB2312" w:cs="Times New Roman"/>
          <w:b w:val="0"/>
          <w:bCs w:val="0"/>
          <w:kern w:val="2"/>
          <w:sz w:val="32"/>
          <w:szCs w:val="24"/>
          <w:lang w:val="en-US" w:eastAsia="zh-CN" w:bidi="ar-SA"/>
        </w:rPr>
        <w:fldChar w:fldCharType="end"/>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20" w:lineRule="exact"/>
        <w:ind w:right="0"/>
        <w:jc w:val="both"/>
        <w:textAlignment w:val="auto"/>
        <w:rPr>
          <w:rFonts w:hint="default" w:ascii="Times New Roman" w:hAnsi="Times New Roman" w:eastAsia="仿宋_GB2312" w:cs="Times New Roman"/>
          <w:b w:val="0"/>
          <w:bCs w:val="0"/>
          <w:kern w:val="2"/>
          <w:sz w:val="32"/>
          <w:szCs w:val="24"/>
          <w:lang w:val="en-US" w:eastAsia="zh-CN" w:bidi="ar-SA"/>
        </w:rPr>
      </w:pPr>
    </w:p>
    <w:p>
      <w:pPr>
        <w:keepNext w:val="0"/>
        <w:keepLines w:val="0"/>
        <w:pageBreakBefore w:val="0"/>
        <w:kinsoku/>
        <w:wordWrap/>
        <w:overflowPunct/>
        <w:topLinePunct w:val="0"/>
        <w:bidi w:val="0"/>
        <w:spacing w:line="520" w:lineRule="exact"/>
        <w:ind w:firstLine="624" w:firstLineChars="200"/>
        <w:textAlignment w:val="auto"/>
        <w:rPr>
          <w:rFonts w:hint="default" w:ascii="Times New Roman" w:hAnsi="Times New Roman" w:eastAsia="仿宋_GB2312" w:cs="Times New Roman"/>
          <w:b w:val="0"/>
          <w:bCs w:val="0"/>
          <w:szCs w:val="32"/>
        </w:rPr>
      </w:pPr>
      <w:r>
        <w:rPr>
          <w:rFonts w:hint="eastAsia" w:ascii="黑体" w:hAnsi="黑体" w:eastAsia="黑体" w:cs="黑体"/>
          <w:b w:val="0"/>
          <w:bCs w:val="0"/>
          <w:szCs w:val="32"/>
        </w:rPr>
        <w:t>一、当事人基本情况及违法事实情况</w:t>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20" w:lineRule="exact"/>
        <w:ind w:right="0" w:firstLine="624" w:firstLineChars="200"/>
        <w:jc w:val="both"/>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当事人在广州市越秀区走马岗85号从事机动车燃油零售业务，并于2020年8月4日领取《排污许可证》。2022年10月13日，我局执法人员对当事人进行现场检查时发现，加油站卸油口阀门关闭不严实，导致该加油站油气回收装置</w:t>
      </w:r>
      <w:r>
        <w:rPr>
          <w:rFonts w:hint="default" w:ascii="Times New Roman" w:hAnsi="Times New Roman" w:eastAsia="仿宋_GB2312" w:cs="Times New Roman"/>
          <w:color w:val="auto"/>
          <w:sz w:val="32"/>
          <w:szCs w:val="24"/>
          <w:highlight w:val="none"/>
          <w:lang w:val="en-US" w:eastAsia="zh-CN"/>
        </w:rPr>
        <w:t>无法加压，</w:t>
      </w:r>
      <w:r>
        <w:rPr>
          <w:rFonts w:hint="default" w:ascii="Times New Roman" w:hAnsi="Times New Roman" w:eastAsia="仿宋_GB2312" w:cs="Times New Roman"/>
          <w:color w:val="auto"/>
          <w:kern w:val="2"/>
          <w:sz w:val="32"/>
          <w:szCs w:val="24"/>
          <w:highlight w:val="none"/>
          <w:lang w:val="en-US" w:eastAsia="zh-CN" w:bidi="ar-SA"/>
        </w:rPr>
        <w:t>未在密闭状态下工作。当事人上述行为属于未按照</w:t>
      </w:r>
      <w:r>
        <w:rPr>
          <w:rFonts w:hint="eastAsia" w:ascii="Times New Roman" w:hAnsi="Times New Roman" w:eastAsia="仿宋_GB2312" w:cs="Times New Roman"/>
          <w:color w:val="auto"/>
          <w:kern w:val="2"/>
          <w:sz w:val="32"/>
          <w:szCs w:val="24"/>
          <w:highlight w:val="none"/>
          <w:lang w:val="en-US" w:eastAsia="zh-CN" w:bidi="ar-SA"/>
        </w:rPr>
        <w:t>国家有关</w:t>
      </w:r>
      <w:r>
        <w:rPr>
          <w:rFonts w:hint="default" w:ascii="Times New Roman" w:hAnsi="Times New Roman" w:eastAsia="仿宋_GB2312" w:cs="Times New Roman"/>
          <w:color w:val="auto"/>
          <w:kern w:val="2"/>
          <w:sz w:val="32"/>
          <w:szCs w:val="24"/>
          <w:highlight w:val="none"/>
          <w:lang w:val="en-US" w:eastAsia="zh-CN" w:bidi="ar-SA"/>
        </w:rPr>
        <w:t>规定</w:t>
      </w:r>
      <w:r>
        <w:rPr>
          <w:rFonts w:hint="eastAsia" w:ascii="Times New Roman" w:hAnsi="Times New Roman" w:eastAsia="仿宋_GB2312" w:cs="Times New Roman"/>
          <w:color w:val="auto"/>
          <w:kern w:val="2"/>
          <w:sz w:val="32"/>
          <w:szCs w:val="24"/>
          <w:highlight w:val="none"/>
          <w:lang w:val="en-US" w:eastAsia="zh-CN" w:bidi="ar-SA"/>
        </w:rPr>
        <w:t>正常使用油气回收装置</w:t>
      </w:r>
      <w:r>
        <w:rPr>
          <w:rFonts w:hint="default" w:ascii="Times New Roman" w:hAnsi="Times New Roman" w:eastAsia="仿宋_GB2312" w:cs="Times New Roman"/>
          <w:color w:val="auto"/>
          <w:kern w:val="2"/>
          <w:sz w:val="32"/>
          <w:szCs w:val="24"/>
          <w:highlight w:val="none"/>
          <w:lang w:val="en-US" w:eastAsia="zh-CN" w:bidi="ar-SA"/>
        </w:rPr>
        <w:t>。</w:t>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20" w:lineRule="exact"/>
        <w:ind w:right="0" w:firstLine="624" w:firstLineChars="200"/>
        <w:jc w:val="both"/>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color w:val="auto"/>
          <w:kern w:val="2"/>
          <w:sz w:val="32"/>
          <w:szCs w:val="24"/>
          <w:highlight w:val="none"/>
          <w:lang w:val="en-US" w:eastAsia="zh-CN" w:bidi="ar-SA"/>
        </w:rPr>
        <w:t>以上事实，有《现场检查（勘验）笔录》《调查询问笔录》、现场照片等证据材料予以证实。</w:t>
      </w:r>
    </w:p>
    <w:p>
      <w:pPr>
        <w:pStyle w:val="12"/>
        <w:keepNext w:val="0"/>
        <w:keepLines w:val="0"/>
        <w:pageBreakBefore w:val="0"/>
        <w:kinsoku/>
        <w:wordWrap/>
        <w:overflowPunct/>
        <w:topLinePunct w:val="0"/>
        <w:bidi w:val="0"/>
        <w:snapToGrid w:val="0"/>
        <w:spacing w:line="520" w:lineRule="exact"/>
        <w:ind w:firstLine="624" w:firstLineChars="200"/>
        <w:textAlignment w:val="auto"/>
        <w:rPr>
          <w:rFonts w:hint="default" w:ascii="Times New Roman" w:hAnsi="Times New Roman" w:eastAsia="仿宋_GB2312" w:cs="Times New Roman"/>
          <w:b/>
          <w:bCs/>
          <w:sz w:val="32"/>
          <w:szCs w:val="32"/>
        </w:rPr>
      </w:pPr>
      <w:r>
        <w:rPr>
          <w:rFonts w:hint="eastAsia" w:ascii="黑体" w:hAnsi="黑体" w:eastAsia="黑体" w:cs="黑体"/>
          <w:b w:val="0"/>
          <w:bCs w:val="0"/>
          <w:sz w:val="32"/>
          <w:szCs w:val="32"/>
        </w:rPr>
        <w:t>二、规范依据、拟处罚告知及意见采纳情况及处罚内容</w:t>
      </w:r>
    </w:p>
    <w:p>
      <w:pPr>
        <w:pStyle w:val="6"/>
        <w:keepNext w:val="0"/>
        <w:keepLines w:val="0"/>
        <w:pageBreakBefore w:val="0"/>
        <w:widowControl/>
        <w:suppressLineNumbers w:val="0"/>
        <w:kinsoku/>
        <w:wordWrap/>
        <w:overflowPunct/>
        <w:topLinePunct w:val="0"/>
        <w:bidi w:val="0"/>
        <w:spacing w:before="0" w:beforeAutospacing="0" w:after="0" w:afterAutospacing="0" w:line="520" w:lineRule="exact"/>
        <w:ind w:left="0" w:right="0" w:firstLine="624"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val="0"/>
          <w:bCs w:val="0"/>
          <w:kern w:val="0"/>
          <w:sz w:val="32"/>
          <w:szCs w:val="32"/>
          <w:lang w:val="en-US" w:eastAsia="zh-CN"/>
        </w:rPr>
        <w:t>当事人上述行为违反了</w:t>
      </w:r>
      <w:r>
        <w:rPr>
          <w:rFonts w:hint="default" w:ascii="Times New Roman" w:hAnsi="Times New Roman" w:eastAsia="仿宋_GB2312" w:cs="Times New Roman"/>
          <w:b w:val="0"/>
          <w:bCs w:val="0"/>
          <w:color w:val="auto"/>
          <w:kern w:val="0"/>
          <w:sz w:val="32"/>
          <w:szCs w:val="32"/>
          <w:highlight w:val="none"/>
          <w:lang w:val="en-US" w:eastAsia="zh-CN"/>
        </w:rPr>
        <w:t>《中华人民共和国大气污染防治法》第四十七条第二款</w:t>
      </w:r>
      <w:r>
        <w:rPr>
          <w:rFonts w:hint="eastAsia" w:ascii="仿宋_GB2312" w:hAnsi="仿宋_GB2312" w:eastAsia="仿宋_GB2312" w:cs="仿宋_GB2312"/>
          <w:b w:val="0"/>
          <w:bCs w:val="0"/>
          <w:kern w:val="0"/>
          <w:sz w:val="32"/>
          <w:szCs w:val="32"/>
          <w:highlight w:val="none"/>
          <w:lang w:val="en-US" w:eastAsia="zh-CN"/>
        </w:rPr>
        <w:t>的规定。</w:t>
      </w:r>
      <w:r>
        <w:rPr>
          <w:rFonts w:hint="default" w:ascii="Times New Roman" w:hAnsi="Times New Roman" w:eastAsia="仿宋_GB2312" w:cs="Times New Roman"/>
          <w:sz w:val="32"/>
          <w:szCs w:val="32"/>
          <w:highlight w:val="none"/>
        </w:rPr>
        <w:t>2022年</w:t>
      </w:r>
      <w:r>
        <w:rPr>
          <w:rFonts w:hint="eastAsia"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月</w:t>
      </w:r>
      <w:r>
        <w:rPr>
          <w:rFonts w:hint="eastAsia" w:eastAsia="仿宋_GB2312" w:cs="Times New Roman"/>
          <w:sz w:val="32"/>
          <w:szCs w:val="32"/>
          <w:highlight w:val="none"/>
          <w:lang w:val="en-US" w:eastAsia="zh-CN"/>
        </w:rPr>
        <w:t>23</w:t>
      </w:r>
      <w:r>
        <w:rPr>
          <w:rFonts w:hint="default" w:ascii="Times New Roman" w:hAnsi="Times New Roman" w:eastAsia="仿宋_GB2312" w:cs="Times New Roman"/>
          <w:sz w:val="32"/>
          <w:szCs w:val="32"/>
          <w:highlight w:val="none"/>
        </w:rPr>
        <w:t>日我局</w:t>
      </w:r>
      <w:r>
        <w:rPr>
          <w:rFonts w:hint="default" w:ascii="Times New Roman" w:hAnsi="Times New Roman" w:eastAsia="仿宋_GB2312" w:cs="Times New Roman"/>
          <w:sz w:val="32"/>
          <w:szCs w:val="32"/>
        </w:rPr>
        <w:t>向当事人送达《行政处罚事先告知书》</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穗环</w:t>
      </w:r>
      <w:r>
        <w:rPr>
          <w:rFonts w:hint="eastAsia" w:eastAsia="仿宋_GB2312" w:cs="Times New Roman"/>
          <w:sz w:val="32"/>
          <w:szCs w:val="32"/>
          <w:lang w:val="en-US" w:eastAsia="zh-CN"/>
        </w:rPr>
        <w:t>越</w:t>
      </w:r>
      <w:r>
        <w:rPr>
          <w:rFonts w:hint="default" w:ascii="Times New Roman" w:hAnsi="Times New Roman" w:eastAsia="仿宋_GB2312" w:cs="Times New Roman"/>
          <w:sz w:val="32"/>
          <w:szCs w:val="32"/>
        </w:rPr>
        <w:t>罚告〔2022〕</w:t>
      </w:r>
      <w:r>
        <w:rPr>
          <w:rFonts w:hint="eastAsia" w:eastAsia="仿宋_GB2312" w:cs="Times New Roman"/>
          <w:sz w:val="32"/>
          <w:szCs w:val="32"/>
          <w:lang w:val="en-US" w:eastAsia="zh-CN"/>
        </w:rPr>
        <w:t>17</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，告知当事人拟作出的处罚内容及事实、理由、依据，并告知了陈述、申辩的权利。</w:t>
      </w:r>
      <w:r>
        <w:rPr>
          <w:rFonts w:hint="eastAsia" w:ascii="Times New Roman" w:hAnsi="Times New Roman" w:eastAsia="仿宋_GB2312" w:cs="Times New Roman"/>
          <w:sz w:val="32"/>
          <w:szCs w:val="32"/>
          <w:lang w:val="en-US" w:eastAsia="zh-CN"/>
        </w:rPr>
        <w:t>当事人</w:t>
      </w:r>
      <w:r>
        <w:rPr>
          <w:rFonts w:hint="eastAsia" w:eastAsia="仿宋_GB2312" w:cs="Times New Roman"/>
          <w:sz w:val="32"/>
          <w:szCs w:val="32"/>
          <w:lang w:val="en-US" w:eastAsia="zh-CN"/>
        </w:rPr>
        <w:t>提出陈述申辩</w:t>
      </w:r>
      <w:r>
        <w:rPr>
          <w:rFonts w:hint="eastAsia" w:ascii="Times New Roman" w:hAnsi="Times New Roman" w:eastAsia="仿宋_GB2312" w:cs="Times New Roman"/>
          <w:sz w:val="32"/>
          <w:szCs w:val="32"/>
          <w:lang w:val="en-US"/>
        </w:rPr>
        <w:t>意见</w:t>
      </w:r>
      <w:r>
        <w:rPr>
          <w:rFonts w:hint="eastAsia" w:eastAsia="仿宋_GB2312" w:cs="Times New Roman"/>
          <w:sz w:val="32"/>
          <w:szCs w:val="32"/>
          <w:lang w:val="en-US" w:eastAsia="zh-CN"/>
        </w:rPr>
        <w:t>：已立即整改，属于轻微违法，未造成实际的环境污染，请求免于处罚。</w:t>
      </w:r>
    </w:p>
    <w:p>
      <w:pPr>
        <w:pStyle w:val="12"/>
        <w:keepNext w:val="0"/>
        <w:keepLines w:val="0"/>
        <w:pageBreakBefore w:val="0"/>
        <w:kinsoku/>
        <w:wordWrap/>
        <w:overflowPunct/>
        <w:topLinePunct w:val="0"/>
        <w:bidi w:val="0"/>
        <w:snapToGrid w:val="0"/>
        <w:spacing w:line="520" w:lineRule="exact"/>
        <w:ind w:firstLine="622"/>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经</w:t>
      </w:r>
      <w:r>
        <w:rPr>
          <w:rFonts w:hint="default" w:ascii="Times New Roman" w:hAnsi="Times New Roman" w:eastAsia="仿宋_GB2312" w:cs="Times New Roman"/>
          <w:sz w:val="32"/>
          <w:szCs w:val="32"/>
          <w:highlight w:val="none"/>
          <w:lang w:eastAsia="zh-CN"/>
        </w:rPr>
        <w:t>审查</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我局认为，当事人于2022年9月27日第一次经查发现卸油口阀门关闭不严的违法行为后，2022年10月13日再次被查出卸油口阀门关闭不严的违法行为，</w:t>
      </w:r>
      <w:r>
        <w:rPr>
          <w:rFonts w:hint="eastAsia" w:eastAsia="仿宋_GB2312" w:cs="Times New Roman"/>
          <w:sz w:val="32"/>
          <w:szCs w:val="32"/>
          <w:lang w:val="en-US" w:eastAsia="zh-CN"/>
        </w:rPr>
        <w:t>且在2022年9月27日-9月28日及2022年10月3日-10月8日广州市</w:t>
      </w:r>
      <w:bookmarkStart w:id="0" w:name="_GoBack"/>
      <w:bookmarkEnd w:id="0"/>
      <w:r>
        <w:rPr>
          <w:rFonts w:hint="eastAsia" w:eastAsia="仿宋_GB2312" w:cs="Times New Roman"/>
          <w:sz w:val="32"/>
          <w:szCs w:val="32"/>
          <w:lang w:val="en-US" w:eastAsia="zh-CN"/>
        </w:rPr>
        <w:t>污染天气应对期间，当事人违法行为依然持续，</w:t>
      </w:r>
      <w:r>
        <w:rPr>
          <w:rFonts w:hint="eastAsia" w:eastAsia="仿宋_GB2312" w:cs="Times New Roman"/>
          <w:sz w:val="32"/>
          <w:szCs w:val="32"/>
          <w:highlight w:val="none"/>
          <w:lang w:val="en-US" w:eastAsia="zh-CN"/>
        </w:rPr>
        <w:t>其违法行为已</w:t>
      </w:r>
      <w:r>
        <w:rPr>
          <w:rFonts w:hint="eastAsia" w:eastAsia="仿宋_GB2312" w:cs="Times New Roman"/>
          <w:sz w:val="32"/>
          <w:szCs w:val="32"/>
          <w:lang w:val="en-US" w:eastAsia="zh-CN"/>
        </w:rPr>
        <w:t>造成实际的环境污染，</w:t>
      </w:r>
      <w:r>
        <w:rPr>
          <w:rFonts w:hint="eastAsia" w:eastAsia="仿宋_GB2312" w:cs="Times New Roman"/>
          <w:sz w:val="32"/>
          <w:szCs w:val="32"/>
          <w:highlight w:val="none"/>
          <w:lang w:val="en-US" w:eastAsia="zh-CN"/>
        </w:rPr>
        <w:t>不能被评价为轻微违法，决定不采纳当事人的陈述申辩意见。</w:t>
      </w:r>
      <w:r>
        <w:rPr>
          <w:rFonts w:hint="default" w:ascii="Times New Roman" w:hAnsi="Times New Roman" w:eastAsia="仿宋_GB2312" w:cs="Times New Roman"/>
          <w:sz w:val="32"/>
          <w:szCs w:val="32"/>
          <w:highlight w:val="none"/>
        </w:rPr>
        <w:t>现本案经我局审查结束</w:t>
      </w:r>
      <w:r>
        <w:rPr>
          <w:rFonts w:hint="default" w:ascii="Times New Roman" w:hAnsi="Times New Roman" w:eastAsia="仿宋_GB2312" w:cs="Times New Roman"/>
          <w:sz w:val="32"/>
          <w:szCs w:val="32"/>
          <w:highlight w:val="none"/>
          <w:lang w:eastAsia="zh-CN"/>
        </w:rPr>
        <w:t>。</w:t>
      </w:r>
    </w:p>
    <w:p>
      <w:pPr>
        <w:pStyle w:val="12"/>
        <w:keepNext w:val="0"/>
        <w:keepLines w:val="0"/>
        <w:pageBreakBefore w:val="0"/>
        <w:kinsoku/>
        <w:wordWrap/>
        <w:overflowPunct/>
        <w:topLinePunct w:val="0"/>
        <w:bidi w:val="0"/>
        <w:snapToGrid w:val="0"/>
        <w:spacing w:line="520" w:lineRule="exact"/>
        <w:ind w:firstLine="622"/>
        <w:textAlignment w:val="auto"/>
        <w:rPr>
          <w:rFonts w:hint="default" w:ascii="Times New Roman" w:hAnsi="Times New Roman" w:eastAsia="仿宋_GB2312" w:cs="Times New Roman"/>
          <w:sz w:val="32"/>
          <w:szCs w:val="32"/>
        </w:rPr>
      </w:pPr>
      <w:r>
        <w:rPr>
          <w:rFonts w:hint="eastAsia" w:eastAsia="仿宋_GB2312" w:cs="Times New Roman"/>
          <w:sz w:val="32"/>
          <w:szCs w:val="32"/>
          <w:highlight w:val="none"/>
          <w:lang w:val="en-US" w:eastAsia="zh-CN"/>
        </w:rPr>
        <w:t>综上所述，</w:t>
      </w:r>
      <w:r>
        <w:rPr>
          <w:rFonts w:hint="default" w:ascii="Times New Roman" w:hAnsi="Times New Roman" w:eastAsia="仿宋_GB2312" w:cs="Times New Roman"/>
          <w:sz w:val="32"/>
          <w:szCs w:val="32"/>
          <w:highlight w:val="none"/>
        </w:rPr>
        <w:t>当事人确有</w:t>
      </w:r>
      <w:r>
        <w:rPr>
          <w:rFonts w:hint="default" w:ascii="Times New Roman" w:hAnsi="Times New Roman" w:eastAsia="仿宋_GB2312" w:cs="Times New Roman"/>
          <w:color w:val="auto"/>
          <w:kern w:val="2"/>
          <w:sz w:val="32"/>
          <w:szCs w:val="24"/>
          <w:highlight w:val="none"/>
          <w:lang w:val="en-US" w:eastAsia="zh-CN" w:bidi="ar-SA"/>
        </w:rPr>
        <w:t>未按照</w:t>
      </w:r>
      <w:r>
        <w:rPr>
          <w:rFonts w:hint="eastAsia" w:ascii="Times New Roman" w:hAnsi="Times New Roman" w:eastAsia="仿宋_GB2312" w:cs="Times New Roman"/>
          <w:color w:val="auto"/>
          <w:kern w:val="2"/>
          <w:sz w:val="32"/>
          <w:szCs w:val="24"/>
          <w:highlight w:val="none"/>
          <w:lang w:val="en-US" w:eastAsia="zh-CN" w:bidi="ar-SA"/>
        </w:rPr>
        <w:t>国家有关</w:t>
      </w:r>
      <w:r>
        <w:rPr>
          <w:rFonts w:hint="default" w:ascii="Times New Roman" w:hAnsi="Times New Roman" w:eastAsia="仿宋_GB2312" w:cs="Times New Roman"/>
          <w:color w:val="auto"/>
          <w:kern w:val="2"/>
          <w:sz w:val="32"/>
          <w:szCs w:val="24"/>
          <w:highlight w:val="none"/>
          <w:lang w:val="en-US" w:eastAsia="zh-CN" w:bidi="ar-SA"/>
        </w:rPr>
        <w:t>规定</w:t>
      </w:r>
      <w:r>
        <w:rPr>
          <w:rFonts w:hint="eastAsia" w:ascii="Times New Roman" w:hAnsi="Times New Roman" w:eastAsia="仿宋_GB2312" w:cs="Times New Roman"/>
          <w:color w:val="auto"/>
          <w:kern w:val="2"/>
          <w:sz w:val="32"/>
          <w:szCs w:val="24"/>
          <w:highlight w:val="none"/>
          <w:lang w:val="en-US" w:eastAsia="zh-CN" w:bidi="ar-SA"/>
        </w:rPr>
        <w:t>正常使用油气回收装置</w:t>
      </w:r>
      <w:r>
        <w:rPr>
          <w:rFonts w:hint="default" w:ascii="Times New Roman" w:hAnsi="Times New Roman" w:eastAsia="仿宋_GB2312" w:cs="Times New Roman"/>
          <w:sz w:val="32"/>
          <w:szCs w:val="32"/>
          <w:highlight w:val="none"/>
        </w:rPr>
        <w:t>的违法行为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lang w:val="en-US" w:eastAsia="zh-CN"/>
        </w:rPr>
        <w:t>根据《中华人民共和国大气污染防治法》第一百零八条第四项及《广东省生态环境行政处罚自由裁量权规定》附件1§3.17的规定</w:t>
      </w:r>
      <w:r>
        <w:rPr>
          <w:rFonts w:hint="default" w:ascii="Times New Roman" w:hAnsi="Times New Roman" w:eastAsia="仿宋_GB2312" w:cs="Times New Roman"/>
          <w:sz w:val="32"/>
          <w:lang w:val="en-US" w:eastAsia="zh-CN"/>
        </w:rPr>
        <w:t>，我局现对当事人作出如下决定</w:t>
      </w:r>
      <w:r>
        <w:rPr>
          <w:rFonts w:hint="default" w:ascii="Times New Roman" w:hAnsi="Times New Roman" w:eastAsia="仿宋_GB2312" w:cs="Times New Roman"/>
          <w:sz w:val="32"/>
          <w:szCs w:val="32"/>
        </w:rPr>
        <w:t>：</w:t>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20" w:lineRule="exact"/>
        <w:ind w:right="0" w:firstLine="624" w:firstLineChars="200"/>
        <w:jc w:val="both"/>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1、责令立即改正违法行为；</w:t>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20" w:lineRule="exact"/>
        <w:ind w:right="0" w:firstLine="624" w:firstLineChars="200"/>
        <w:jc w:val="both"/>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2、罚款人民币叁万伍仟元整（</w:t>
      </w:r>
      <w:r>
        <w:rPr>
          <w:rFonts w:hint="eastAsia" w:ascii="Times New Roman" w:hAnsi="Times New Roman" w:eastAsia="仿宋_GB2312" w:cs="Times New Roman"/>
          <w:color w:val="auto"/>
          <w:kern w:val="2"/>
          <w:sz w:val="32"/>
          <w:szCs w:val="24"/>
          <w:highlight w:val="none"/>
          <w:lang w:val="en-US" w:eastAsia="zh-CN" w:bidi="ar-SA"/>
        </w:rPr>
        <w:t>¥</w:t>
      </w:r>
      <w:r>
        <w:rPr>
          <w:rFonts w:hint="default" w:ascii="Times New Roman" w:hAnsi="Times New Roman" w:eastAsia="仿宋_GB2312" w:cs="Times New Roman"/>
          <w:color w:val="auto"/>
          <w:kern w:val="2"/>
          <w:sz w:val="32"/>
          <w:szCs w:val="24"/>
          <w:highlight w:val="none"/>
          <w:lang w:val="en-US" w:eastAsia="zh-CN" w:bidi="ar-SA"/>
        </w:rPr>
        <w:t>35</w:t>
      </w:r>
      <w:r>
        <w:rPr>
          <w:rFonts w:hint="eastAsia" w:eastAsia="仿宋_GB2312"/>
          <w:color w:val="auto"/>
          <w:sz w:val="32"/>
          <w:szCs w:val="24"/>
          <w:highlight w:val="none"/>
          <w:lang w:val="en-US" w:eastAsia="zh-CN"/>
        </w:rPr>
        <w:t>,</w:t>
      </w:r>
      <w:r>
        <w:rPr>
          <w:rFonts w:hint="default" w:ascii="Times New Roman" w:hAnsi="Times New Roman" w:eastAsia="仿宋_GB2312" w:cs="Times New Roman"/>
          <w:color w:val="auto"/>
          <w:kern w:val="2"/>
          <w:sz w:val="32"/>
          <w:szCs w:val="24"/>
          <w:highlight w:val="none"/>
          <w:lang w:val="en-US" w:eastAsia="zh-CN" w:bidi="ar-SA"/>
        </w:rPr>
        <w:t>000.00）。</w:t>
      </w:r>
    </w:p>
    <w:p>
      <w:pPr>
        <w:keepNext w:val="0"/>
        <w:keepLines w:val="0"/>
        <w:pageBreakBefore w:val="0"/>
        <w:kinsoku/>
        <w:wordWrap/>
        <w:overflowPunct/>
        <w:topLinePunct w:val="0"/>
        <w:bidi w:val="0"/>
        <w:spacing w:line="520" w:lineRule="exact"/>
        <w:ind w:firstLine="624" w:firstLineChars="200"/>
        <w:textAlignment w:val="auto"/>
        <w:rPr>
          <w:rFonts w:hint="default" w:ascii="Times New Roman" w:hAnsi="Times New Roman" w:eastAsia="仿宋_GB2312" w:cs="Times New Roman"/>
          <w:b/>
          <w:bCs/>
          <w:szCs w:val="32"/>
        </w:rPr>
      </w:pPr>
      <w:r>
        <w:rPr>
          <w:rFonts w:hint="eastAsia" w:ascii="黑体" w:hAnsi="黑体" w:eastAsia="黑体" w:cs="黑体"/>
          <w:b w:val="0"/>
          <w:bCs w:val="0"/>
          <w:szCs w:val="32"/>
        </w:rPr>
        <w:t>三、处罚内容的履行要求和当事人的救济权利</w:t>
      </w:r>
    </w:p>
    <w:p>
      <w:pPr>
        <w:keepNext w:val="0"/>
        <w:keepLines w:val="0"/>
        <w:pageBreakBefore w:val="0"/>
        <w:kinsoku/>
        <w:wordWrap/>
        <w:overflowPunct/>
        <w:topLinePunct w:val="0"/>
        <w:bidi w:val="0"/>
        <w:spacing w:line="520" w:lineRule="exact"/>
        <w:textAlignment w:val="auto"/>
        <w:rPr>
          <w:rFonts w:hint="default" w:ascii="Times New Roman" w:hAnsi="Times New Roman" w:eastAsia="仿宋_GB2312" w:cs="Times New Roman"/>
          <w:bCs/>
          <w:szCs w:val="32"/>
          <w:u w:val="single"/>
        </w:rPr>
      </w:pPr>
      <w:r>
        <w:rPr>
          <w:rFonts w:hint="default" w:ascii="Times New Roman" w:hAnsi="Times New Roman" w:eastAsia="仿宋_GB2312" w:cs="Times New Roman"/>
          <w:b/>
          <w:bCs/>
          <w:szCs w:val="32"/>
        </w:rPr>
        <w:t xml:space="preserve"> </w:t>
      </w:r>
      <w:r>
        <w:rPr>
          <w:rFonts w:hint="default" w:ascii="Times New Roman" w:hAnsi="Times New Roman" w:eastAsia="仿宋_GB2312" w:cs="Times New Roman"/>
          <w:b/>
          <w:bCs/>
          <w:szCs w:val="32"/>
          <w:lang w:val="en-US" w:eastAsia="zh-CN"/>
        </w:rPr>
        <w:t xml:space="preserve">   </w:t>
      </w:r>
      <w:r>
        <w:rPr>
          <w:rFonts w:hint="default" w:ascii="Times New Roman" w:hAnsi="Times New Roman" w:eastAsia="仿宋_GB2312" w:cs="Times New Roman"/>
          <w:bCs/>
          <w:szCs w:val="32"/>
        </w:rPr>
        <w:t>限当事人在收到本处罚决定书之日起15日内，按照《广州市非税收入缴款通知书》的要求，将上述罚款缴到非税收入代收银行（</w:t>
      </w:r>
      <w:r>
        <w:rPr>
          <w:rFonts w:hint="default" w:ascii="Times New Roman" w:hAnsi="Times New Roman" w:eastAsia="仿宋_GB2312" w:cs="Times New Roman"/>
          <w:bCs/>
          <w:color w:val="auto"/>
          <w:szCs w:val="32"/>
          <w:highlight w:val="none"/>
        </w:rPr>
        <w:t>工商银行、建设银行、农业银行、邮政储蓄银行、交通银行、光大银行、中信银行、广发银行、浦发银行、华夏银行、招商银行、民生银行、平安银行、兴业银行、广州银行、中国银行、广州农村商业银行、浙商银行、广东华兴银行、创兴银行、</w:t>
      </w:r>
      <w:r>
        <w:rPr>
          <w:rFonts w:hint="default" w:ascii="Times New Roman" w:hAnsi="Times New Roman" w:eastAsia="仿宋_GB2312" w:cs="Times New Roman"/>
          <w:bCs/>
          <w:color w:val="auto"/>
          <w:szCs w:val="32"/>
          <w:highlight w:val="none"/>
          <w:lang w:val="en-US" w:eastAsia="zh-CN"/>
        </w:rPr>
        <w:t>华润银行</w:t>
      </w:r>
      <w:r>
        <w:rPr>
          <w:rFonts w:hint="eastAsia" w:eastAsia="仿宋_GB2312" w:cs="Times New Roman"/>
          <w:bCs/>
          <w:color w:val="auto"/>
          <w:szCs w:val="32"/>
          <w:highlight w:val="none"/>
          <w:lang w:val="en-US" w:eastAsia="zh-CN"/>
        </w:rPr>
        <w:t>、</w:t>
      </w:r>
      <w:r>
        <w:rPr>
          <w:rFonts w:hint="default" w:ascii="Times New Roman" w:hAnsi="Times New Roman" w:eastAsia="仿宋_GB2312" w:cs="Times New Roman"/>
          <w:bCs/>
          <w:color w:val="auto"/>
          <w:szCs w:val="32"/>
          <w:highlight w:val="none"/>
        </w:rPr>
        <w:t>东莞银行、南粤银行</w:t>
      </w:r>
      <w:r>
        <w:rPr>
          <w:rFonts w:hint="default" w:ascii="Times New Roman" w:hAnsi="Times New Roman" w:eastAsia="仿宋_GB2312" w:cs="Times New Roman"/>
          <w:bCs/>
          <w:szCs w:val="32"/>
        </w:rPr>
        <w:t>），收入项目编码：</w:t>
      </w:r>
      <w:r>
        <w:rPr>
          <w:rFonts w:hint="eastAsia" w:ascii="Times New Roman" w:hAnsi="Times New Roman" w:eastAsia="仿宋_GB2312" w:cs="Times New Roman"/>
          <w:bCs/>
          <w:szCs w:val="32"/>
          <w:lang w:val="en-US" w:eastAsia="zh-CN"/>
        </w:rPr>
        <w:t>103050125100</w:t>
      </w:r>
      <w:r>
        <w:rPr>
          <w:rFonts w:hint="default" w:ascii="Times New Roman" w:hAnsi="Times New Roman" w:eastAsia="仿宋_GB2312" w:cs="Times New Roman"/>
          <w:bCs/>
          <w:szCs w:val="32"/>
        </w:rPr>
        <w:t>。</w:t>
      </w:r>
    </w:p>
    <w:p>
      <w:pPr>
        <w:keepNext w:val="0"/>
        <w:keepLines w:val="0"/>
        <w:pageBreakBefore w:val="0"/>
        <w:kinsoku/>
        <w:wordWrap/>
        <w:overflowPunct/>
        <w:topLinePunct w:val="0"/>
        <w:bidi w:val="0"/>
        <w:spacing w:line="520" w:lineRule="exact"/>
        <w:textAlignment w:val="auto"/>
        <w:rPr>
          <w:rFonts w:hint="default" w:ascii="Times New Roman" w:hAnsi="Times New Roman" w:eastAsia="仿宋_GB2312" w:cs="Times New Roman"/>
          <w:bCs/>
          <w:szCs w:val="32"/>
        </w:rPr>
      </w:pPr>
      <w:r>
        <w:rPr>
          <w:rFonts w:hint="default" w:ascii="Times New Roman" w:hAnsi="Times New Roman" w:eastAsia="仿宋_GB2312" w:cs="Times New Roman"/>
          <w:bCs/>
          <w:szCs w:val="32"/>
        </w:rPr>
        <w:t xml:space="preserve"> </w:t>
      </w:r>
      <w:r>
        <w:rPr>
          <w:rFonts w:hint="default" w:ascii="Times New Roman" w:hAnsi="Times New Roman" w:eastAsia="仿宋_GB2312" w:cs="Times New Roman"/>
          <w:bCs/>
          <w:szCs w:val="32"/>
          <w:lang w:val="en-US" w:eastAsia="zh-CN"/>
        </w:rPr>
        <w:t xml:space="preserve">   </w:t>
      </w:r>
      <w:r>
        <w:rPr>
          <w:rFonts w:hint="default" w:ascii="Times New Roman" w:hAnsi="Times New Roman" w:eastAsia="仿宋_GB2312" w:cs="Times New Roman"/>
          <w:bCs/>
          <w:szCs w:val="32"/>
        </w:rPr>
        <w:t>如不服上述行政处罚决定，可在收到文书之日起60日内向广州市人民政府（地址：广州市越秀区小北路183号金和大厦2楼市政府行政复议办公室，电话：020-83555988），也可向广东省生态环境厅（地址：天河区龙口西路213号，电话：020-87533928、87531656）申请行政复议；或者在收到文书之日起6个月内直接向广州铁路运输法院提起行政诉讼。根据《广东省人民政府关于县级以上人民政府统一行使行政复议职责有关事项的通告》（粤府函〔2021〕99号）的规定，自2021年6月1日起县级以上人民政府统一行使行政复议职责，建议您向广州市人民政府提出行政复议申请。申请行政复议或提起行政诉讼的，不停止本决定的执行。</w:t>
      </w:r>
    </w:p>
    <w:p>
      <w:pPr>
        <w:pStyle w:val="12"/>
        <w:keepNext w:val="0"/>
        <w:keepLines w:val="0"/>
        <w:pageBreakBefore w:val="0"/>
        <w:kinsoku/>
        <w:wordWrap/>
        <w:overflowPunct/>
        <w:topLinePunct w:val="0"/>
        <w:bidi w:val="0"/>
        <w:snapToGrid w:val="0"/>
        <w:spacing w:line="52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根据《中华人民共和国行政处罚法》第七十二条规定，当事人逾期不履行本处罚决定的，我局将每日按罚款额的百分之三加处罚款，并依照《中华人民共和国行政强制法》的规定申请人民法院强制执行。</w:t>
      </w:r>
    </w:p>
    <w:p>
      <w:pPr>
        <w:pStyle w:val="11"/>
        <w:keepNext w:val="0"/>
        <w:keepLines w:val="0"/>
        <w:pageBreakBefore w:val="0"/>
        <w:kinsoku/>
        <w:wordWrap/>
        <w:overflowPunct/>
        <w:topLinePunct w:val="0"/>
        <w:bidi w:val="0"/>
        <w:snapToGrid w:val="0"/>
        <w:spacing w:line="520" w:lineRule="exact"/>
        <w:ind w:firstLine="622"/>
        <w:textAlignment w:val="auto"/>
        <w:rPr>
          <w:rFonts w:hint="default" w:ascii="Times New Roman" w:hAnsi="Times New Roman" w:eastAsia="仿宋_GB2312" w:cs="Times New Roman"/>
          <w:sz w:val="32"/>
          <w:szCs w:val="32"/>
        </w:rPr>
      </w:pPr>
    </w:p>
    <w:p>
      <w:pPr>
        <w:pStyle w:val="11"/>
        <w:keepNext w:val="0"/>
        <w:keepLines w:val="0"/>
        <w:pageBreakBefore w:val="0"/>
        <w:kinsoku/>
        <w:wordWrap/>
        <w:overflowPunct/>
        <w:topLinePunct w:val="0"/>
        <w:bidi w:val="0"/>
        <w:snapToGrid w:val="0"/>
        <w:spacing w:line="520" w:lineRule="exact"/>
        <w:ind w:firstLine="622"/>
        <w:textAlignment w:val="auto"/>
        <w:rPr>
          <w:rFonts w:hint="default" w:ascii="Times New Roman" w:hAnsi="Times New Roman" w:eastAsia="仿宋_GB2312" w:cs="Times New Roman"/>
          <w:sz w:val="32"/>
          <w:szCs w:val="32"/>
        </w:rPr>
      </w:pPr>
    </w:p>
    <w:p>
      <w:pPr>
        <w:keepNext w:val="0"/>
        <w:keepLines w:val="0"/>
        <w:pageBreakBefore w:val="0"/>
        <w:tabs>
          <w:tab w:val="left" w:pos="0"/>
        </w:tabs>
        <w:kinsoku/>
        <w:wordWrap/>
        <w:overflowPunct/>
        <w:topLinePunct w:val="0"/>
        <w:bidi w:val="0"/>
        <w:snapToGrid w:val="0"/>
        <w:spacing w:line="520" w:lineRule="exact"/>
        <w:ind w:right="1244" w:firstLine="622"/>
        <w:jc w:val="left"/>
        <w:textAlignment w:val="auto"/>
        <w:rPr>
          <w:rFonts w:hint="default" w:ascii="Times New Roman" w:hAnsi="Times New Roman" w:eastAsia="仿宋_GB2312" w:cs="Times New Roman"/>
          <w:spacing w:val="-6"/>
          <w:szCs w:val="32"/>
        </w:rPr>
      </w:pPr>
      <w:r>
        <w:rPr>
          <w:rFonts w:hint="default" w:ascii="Times New Roman" w:hAnsi="Times New Roman" w:eastAsia="仿宋_GB2312" w:cs="Times New Roman"/>
          <w:szCs w:val="32"/>
        </w:rPr>
        <w:t xml:space="preserve">             </w:t>
      </w:r>
      <w:r>
        <w:rPr>
          <w:rFonts w:hint="default" w:ascii="Times New Roman" w:hAnsi="Times New Roman" w:eastAsia="仿宋_GB2312" w:cs="Times New Roman"/>
          <w:szCs w:val="32"/>
          <w:lang w:val="en-US" w:eastAsia="zh-CN"/>
        </w:rPr>
        <w:t xml:space="preserve">             </w:t>
      </w:r>
      <w:r>
        <w:rPr>
          <w:rFonts w:hint="default" w:ascii="Times New Roman" w:hAnsi="Times New Roman" w:eastAsia="仿宋_GB2312" w:cs="Times New Roman"/>
          <w:szCs w:val="32"/>
        </w:rPr>
        <w:t>广州市生态环境局</w:t>
      </w:r>
    </w:p>
    <w:p>
      <w:pPr>
        <w:keepNext w:val="0"/>
        <w:keepLines w:val="0"/>
        <w:pageBreakBefore w:val="0"/>
        <w:tabs>
          <w:tab w:val="left" w:pos="0"/>
        </w:tabs>
        <w:kinsoku/>
        <w:wordWrap/>
        <w:overflowPunct/>
        <w:topLinePunct w:val="0"/>
        <w:bidi w:val="0"/>
        <w:snapToGrid w:val="0"/>
        <w:spacing w:line="520" w:lineRule="exact"/>
        <w:ind w:right="1685" w:rightChars="0" w:firstLine="610"/>
        <w:jc w:val="right"/>
        <w:textAlignment w:val="auto"/>
        <w:rPr>
          <w:rFonts w:hint="default" w:ascii="Times New Roman" w:hAnsi="Times New Roman" w:cs="Times New Roman"/>
        </w:rPr>
      </w:pPr>
      <w:r>
        <w:rPr>
          <w:rFonts w:hint="default" w:ascii="Times New Roman" w:hAnsi="Times New Roman" w:eastAsia="仿宋_GB2312" w:cs="Times New Roman"/>
          <w:spacing w:val="-6"/>
          <w:szCs w:val="32"/>
        </w:rPr>
        <w:t xml:space="preserve">                            202</w:t>
      </w:r>
      <w:r>
        <w:rPr>
          <w:rFonts w:hint="default" w:ascii="Times New Roman" w:hAnsi="Times New Roman" w:eastAsia="仿宋_GB2312" w:cs="Times New Roman"/>
          <w:spacing w:val="-6"/>
          <w:szCs w:val="32"/>
          <w:lang w:val="en-US" w:eastAsia="zh-CN"/>
        </w:rPr>
        <w:t>2</w:t>
      </w:r>
      <w:r>
        <w:rPr>
          <w:rFonts w:hint="default" w:ascii="Times New Roman" w:hAnsi="Times New Roman" w:eastAsia="仿宋_GB2312" w:cs="Times New Roman"/>
          <w:spacing w:val="-6"/>
          <w:szCs w:val="32"/>
        </w:rPr>
        <w:t>年</w:t>
      </w:r>
      <w:r>
        <w:rPr>
          <w:rFonts w:hint="eastAsia" w:eastAsia="仿宋_GB2312" w:cs="Times New Roman"/>
          <w:spacing w:val="-6"/>
          <w:szCs w:val="32"/>
          <w:lang w:val="en-US" w:eastAsia="zh-CN"/>
        </w:rPr>
        <w:t>12</w:t>
      </w:r>
      <w:r>
        <w:rPr>
          <w:rFonts w:hint="default" w:ascii="Times New Roman" w:hAnsi="Times New Roman" w:eastAsia="仿宋_GB2312" w:cs="Times New Roman"/>
          <w:spacing w:val="-6"/>
          <w:szCs w:val="32"/>
        </w:rPr>
        <w:t>月</w:t>
      </w:r>
      <w:r>
        <w:rPr>
          <w:rFonts w:hint="eastAsia" w:eastAsia="仿宋_GB2312" w:cs="Times New Roman"/>
          <w:spacing w:val="-6"/>
          <w:szCs w:val="32"/>
          <w:lang w:val="en-US" w:eastAsia="zh-CN"/>
        </w:rPr>
        <w:t>30</w:t>
      </w:r>
      <w:r>
        <w:rPr>
          <w:rFonts w:hint="default" w:ascii="Times New Roman" w:hAnsi="Times New Roman" w:eastAsia="仿宋_GB2312" w:cs="Times New Roman"/>
          <w:spacing w:val="-6"/>
          <w:szCs w:val="32"/>
        </w:rPr>
        <w:t>日</w:t>
      </w:r>
    </w:p>
    <w:p>
      <w:pPr>
        <w:pStyle w:val="2"/>
        <w:keepNext w:val="0"/>
        <w:keepLines w:val="0"/>
        <w:pageBreakBefore w:val="0"/>
        <w:kinsoku/>
        <w:wordWrap/>
        <w:overflowPunct/>
        <w:topLinePunct w:val="0"/>
        <w:bidi w:val="0"/>
        <w:spacing w:line="520" w:lineRule="exact"/>
        <w:textAlignment w:val="auto"/>
        <w:rPr>
          <w:rFonts w:hint="default" w:ascii="Times New Roman" w:hAnsi="Times New Roman" w:cs="Times New Roman"/>
        </w:rPr>
      </w:pPr>
    </w:p>
    <w:p>
      <w:pPr>
        <w:keepNext w:val="0"/>
        <w:keepLines w:val="0"/>
        <w:pageBreakBefore w:val="0"/>
        <w:kinsoku/>
        <w:wordWrap/>
        <w:overflowPunct/>
        <w:topLinePunct w:val="0"/>
        <w:bidi w:val="0"/>
        <w:snapToGrid/>
        <w:spacing w:line="52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联系地址：广州市西华路第一津街50、52号首层、二层和人民北路863号首层</w:t>
      </w:r>
    </w:p>
    <w:p>
      <w:pPr>
        <w:keepNext w:val="0"/>
        <w:keepLines w:val="0"/>
        <w:pageBreakBefore w:val="0"/>
        <w:kinsoku/>
        <w:wordWrap/>
        <w:overflowPunct/>
        <w:topLinePunct w:val="0"/>
        <w:bidi w:val="0"/>
        <w:snapToGrid/>
        <w:spacing w:line="520" w:lineRule="exact"/>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联系</w:t>
      </w:r>
      <w:r>
        <w:rPr>
          <w:rFonts w:hint="default" w:ascii="Times New Roman" w:hAnsi="Times New Roman" w:eastAsia="仿宋_GB2312" w:cs="Times New Roman"/>
          <w:sz w:val="32"/>
          <w:szCs w:val="32"/>
        </w:rPr>
        <w:t>电话：8107506</w:t>
      </w:r>
      <w:r>
        <w:rPr>
          <w:rFonts w:hint="eastAsia" w:ascii="Times New Roman" w:hAnsi="Times New Roman" w:eastAsia="仿宋_GB2312" w:cs="Times New Roman"/>
          <w:sz w:val="32"/>
          <w:szCs w:val="32"/>
          <w:lang w:val="en-US" w:eastAsia="zh-CN"/>
        </w:rPr>
        <w:t>3</w:t>
      </w:r>
    </w:p>
    <w:p>
      <w:pPr>
        <w:keepNext w:val="0"/>
        <w:keepLines w:val="0"/>
        <w:pageBreakBefore w:val="0"/>
        <w:kinsoku/>
        <w:wordWrap/>
        <w:overflowPunct/>
        <w:topLinePunct w:val="0"/>
        <w:bidi w:val="0"/>
        <w:snapToGrid/>
        <w:spacing w:line="52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邮政编码：510170</w:t>
      </w:r>
    </w:p>
    <w:p>
      <w:pPr>
        <w:spacing w:line="560" w:lineRule="exact"/>
        <w:rPr>
          <w:rFonts w:hint="default" w:ascii="Times New Roman" w:hAnsi="Times New Roman" w:cs="Times New Roman"/>
          <w:highlight w:val="yellow"/>
        </w:rPr>
      </w:pPr>
    </w:p>
    <w:sectPr>
      <w:footerReference r:id="rId3" w:type="default"/>
      <w:footerReference r:id="rId4" w:type="even"/>
      <w:pgSz w:w="11906" w:h="16838"/>
      <w:pgMar w:top="2097" w:right="1474" w:bottom="1984" w:left="1587" w:header="851" w:footer="1474" w:gutter="0"/>
      <w:pgNumType w:fmt="numberInDash"/>
      <w:cols w:space="720" w:num="1"/>
      <w:titlePg/>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方正小标宋">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80035" cy="2336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0035" cy="233680"/>
                      </a:xfrm>
                      <a:prstGeom prst="rect">
                        <a:avLst/>
                      </a:prstGeom>
                      <a:noFill/>
                      <a:ln>
                        <a:noFill/>
                      </a:ln>
                    </wps:spPr>
                    <wps:txbx>
                      <w:txbxContent>
                        <w:p>
                          <w:pPr>
                            <w:wordWrap w:val="0"/>
                            <w:snapToGrid w:val="0"/>
                            <w:jc w:val="right"/>
                            <w:rPr>
                              <w:rFonts w:hint="default"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2</w:t>
                          </w:r>
                          <w:r>
                            <w:rPr>
                              <w:rFonts w:ascii="宋体" w:hAnsi="宋体" w:eastAsia="宋体" w:cs="宋体"/>
                              <w:sz w:val="28"/>
                              <w:szCs w:val="28"/>
                            </w:rPr>
                            <w:fldChar w:fldCharType="end"/>
                          </w:r>
                          <w:r>
                            <w:rPr>
                              <w:rFonts w:ascii="宋体" w:hAnsi="宋体" w:eastAsia="宋体" w:cs="宋体"/>
                              <w:sz w:val="28"/>
                              <w:szCs w:val="28"/>
                            </w:rPr>
                            <w:t>　</w:t>
                          </w:r>
                        </w:p>
                      </w:txbxContent>
                    </wps:txbx>
                    <wps:bodyPr wrap="none" lIns="0" tIns="0" rIns="0" bIns="0">
                      <a:spAutoFit/>
                    </wps:bodyPr>
                  </wps:wsp>
                </a:graphicData>
              </a:graphic>
            </wp:anchor>
          </w:drawing>
        </mc:Choice>
        <mc:Fallback>
          <w:pict>
            <v:shape id="_x0000_s1026" o:spid="_x0000_s1026" o:spt="202" type="#_x0000_t202" style="position:absolute;left:0pt;margin-top:0pt;height:18.4pt;width:22.05pt;mso-position-horizontal:outside;mso-position-horizontal-relative:margin;mso-wrap-style:none;z-index:251659264;mso-width-relative:page;mso-height-relative:page;" filled="f" stroked="f" coordsize="21600,21600" o:gfxdata="UEsDBAoAAAAAAIdO4kAAAAAAAAAAAAAAAAAEAAAAZHJzL1BLAwQUAAAACACHTuJAr8oJLtEAAAAD&#10;AQAADwAAAGRycy9kb3ducmV2LnhtbE2PwU7DMBBE70j9B2srcaNOoCpRiNNDJS7cKAiJ2zbexhH2&#10;OrLdNPl7DBe4rDSa0czbZj87KyYKcfCsoNwUIIg7rwfuFby/Pd9VIGJC1mg9k4KFIuzb1U2DtfZX&#10;fqXpmHqRSzjWqMCkNNZSxs6Qw7jxI3H2zj44TFmGXuqA11zurLwvip10OHBeMDjSwVD3dbw4BY/z&#10;h6cx0oE+z1MXzLBU9mVR6nZdFk8gEs3pLww/+Bkd2sx08hfWUVgF+ZH0e7O33ZYgTgoedhXItpH/&#10;2dtvUEsDBBQAAAAIAIdO4kCoamMLxgEAAIsDAAAOAAAAZHJzL2Uyb0RvYy54bWytU82O0zAQviPx&#10;Dpbv1GkrVlXUdAWqFiEhQFr2AVzHbiz5Tx63SV8A3oATF+48V5+DsZN2YbnsgYszGU+++b5vJuvb&#10;wRpylBG0dw2dzypKpBO+1W7f0Icvd69WlEDiruXGO9nQkwR6u3n5Yt2HWi58500rI0EQB3UfGtql&#10;FGrGQHTScpj5IB1eKh8tT/ga96yNvEd0a9iiqm5Y72MbohcSALPb8ZJOiPE5gF4pLeTWi4OVLo2o&#10;URqeUBJ0OgDdFLZKSZE+KQUyEdNQVJrKiU0w3uWTbda83kceOi0mCvw5FJ5oslw7bHqF2vLEySHq&#10;f6CsFtGDV2kmvGWjkOIIqphXT7y573iQRQtaDeFqOvw/WPHx+DkS3eImUOK4xYGfv387//h1/vmV&#10;zLM9fYAaq+4D1qXhrR9y6ZQHTGbVg4o2P1EPwXs093Q1Vw6JCEwuVlW1fE2JwKvFcnmzKuazx49D&#10;hPROekty0NCIsyuW8uMHSNgQSy8luZfzd9qYMj/j/kpgYc6wzHxkmKM07IaJ9s63J1TT49gb6nDL&#10;KTHvHbqaN+QSxEuwm4LcA8KbQ8LGhU9GHaGmZjijQnPap7wEf76Xqsd/aP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r8oJLtEAAAADAQAADwAAAAAAAAABACAAAAAiAAAAZHJzL2Rvd25yZXYueG1s&#10;UEsBAhQAFAAAAAgAh07iQKhqYwvGAQAAiwMAAA4AAAAAAAAAAQAgAAAAIAEAAGRycy9lMm9Eb2Mu&#10;eG1sUEsFBgAAAAAGAAYAWQEAAFgFAAAAAA==&#10;">
              <v:fill on="f" focussize="0,0"/>
              <v:stroke on="f"/>
              <v:imagedata o:title=""/>
              <o:lock v:ext="edit" aspectratio="f"/>
              <v:textbox inset="0mm,0mm,0mm,0mm" style="mso-fit-shape-to-text:t;">
                <w:txbxContent>
                  <w:p>
                    <w:pPr>
                      <w:wordWrap w:val="0"/>
                      <w:snapToGrid w:val="0"/>
                      <w:jc w:val="right"/>
                      <w:rPr>
                        <w:rFonts w:hint="default"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2</w:t>
                    </w:r>
                    <w:r>
                      <w:rPr>
                        <w:rFonts w:ascii="宋体" w:hAnsi="宋体" w:eastAsia="宋体" w:cs="宋体"/>
                        <w:sz w:val="28"/>
                        <w:szCs w:val="28"/>
                      </w:rPr>
                      <w:fldChar w:fldCharType="end"/>
                    </w:r>
                    <w:r>
                      <w:rPr>
                        <w:rFonts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16890" cy="2336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16890" cy="233680"/>
                      </a:xfrm>
                      <a:prstGeom prst="rect">
                        <a:avLst/>
                      </a:prstGeom>
                      <a:noFill/>
                      <a:ln>
                        <a:noFill/>
                      </a:ln>
                    </wps:spPr>
                    <wps:txbx>
                      <w:txbxContent>
                        <w:p>
                          <w:pPr>
                            <w:snapToGrid w:val="0"/>
                            <w:rPr>
                              <w:rFonts w:hint="default" w:ascii="Palatino Linotype" w:hAnsi="Palatino Linotype" w:eastAsia="仿宋_GB2312" w:cs="Palatino Linotype"/>
                              <w:sz w:val="28"/>
                              <w:szCs w:val="28"/>
                            </w:rPr>
                          </w:pPr>
                          <w:r>
                            <w:rPr>
                              <w:rFonts w:ascii="宋体" w:hAnsi="宋体" w:eastAsia="宋体" w:cs="宋体"/>
                              <w:sz w:val="28"/>
                              <w:szCs w:val="28"/>
                            </w:rPr>
                            <w:t>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- 2 -</w:t>
                          </w:r>
                          <w:r>
                            <w:rPr>
                              <w:rFonts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4pt;width:40.7pt;mso-position-horizontal:outside;mso-position-horizontal-relative:margin;mso-wrap-style:none;z-index:251660288;mso-width-relative:page;mso-height-relative:page;" filled="f" stroked="f" coordsize="21600,21600" o:gfxdata="UEsDBAoAAAAAAIdO4kAAAAAAAAAAAAAAAAAEAAAAZHJzL1BLAwQUAAAACACHTuJAsRQU39EAAAAD&#10;AQAADwAAAGRycy9kb3ducmV2LnhtbE2PwU7DMBBE70j8g7WVuFEngEoUsumhEhduFITUmxtv46j2&#10;OrLdNPl7DBe4rDSa0czbZjs7KyYKcfCMUK4LEMSd1wP3CJ8fr/cViJgUa2U9E8JCEbbt7U2jau2v&#10;/E7TPvUil3CsFYJJaayljJ0hp+Laj8TZO/ngVMoy9FIHdc3lzsqHothIpwbOC0aNtDPUnfcXh/A8&#10;f3kaI+3ocJq6YIalsm8L4t2qLF5AJJrTXxh+8DM6tJnp6C+so7AI+ZH0e7NXlU8gjgiPmwpk28j/&#10;7O03UEsDBBQAAAAIAIdO4kDSJ6+SxgEAAIsDAAAOAAAAZHJzL2Uyb0RvYy54bWytU82O0zAQviPx&#10;Dpbv1G1WVCVqugJVi5AQIC08gOvYjSX/yeM26QvAG3Diwp3n6nMwdtIuLJc9cEknM9Nvvu+byfp2&#10;sIYcZQTtXUMXszkl0gnfardv6JfPdy9WlEDiruXGO9nQkwR6u3n+bN2HWla+86aVkSCIg7oPDe1S&#10;CjVjIDppOcx8kA6LykfLE77GPWsj7xHdGlbN50vW+9iG6IUEwOx2LNIJMT4F0Culhdx6cbDSpRE1&#10;SsMTSoJOB6CbwlYpKdJHpUAmYhqKSlN54hCMd/nJNmte7yMPnRYTBf4UCo80Wa4dDr1CbXni5BD1&#10;P1BWi+jBqzQT3rJRSHEEVSzmj7y573iQRQtaDeFqOvw/WPHh+CkS3Ta0osRxiws/f/92/vHr/PMr&#10;qbI9fYAau+4D9qXhjR/waC55wGRWPaho8y/qIVhHc09Xc+WQiMDky8Vy9QorAkvVzc1yVcxnD38O&#10;EdJb6S3JQUMj7q5Yyo/vISERbL205FnO32ljyv6M+yuBjTnDMvORYY7SsBsmOTvfnlBNj2tvqMMr&#10;p8S8c+hqvpBLEC/BbgryDAivDwkHFz4ZdYSahuGOCs3pnvIR/Pleuh6+o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RQU39EAAAADAQAADwAAAAAAAAABACAAAAAiAAAAZHJzL2Rvd25yZXYueG1s&#10;UEsBAhQAFAAAAAgAh07iQNInr5LGAQAAiwMAAA4AAAAAAAAAAQAgAAAAIAEAAGRycy9lMm9Eb2Mu&#10;eG1sUEsFBgAAAAAGAAYAWQEAAFgFAAAAAA==&#10;">
              <v:fill on="f" focussize="0,0"/>
              <v:stroke on="f"/>
              <v:imagedata o:title=""/>
              <o:lock v:ext="edit" aspectratio="f"/>
              <v:textbox inset="0mm,0mm,0mm,0mm" style="mso-fit-shape-to-text:t;">
                <w:txbxContent>
                  <w:p>
                    <w:pPr>
                      <w:snapToGrid w:val="0"/>
                      <w:rPr>
                        <w:rFonts w:hint="default" w:ascii="Palatino Linotype" w:hAnsi="Palatino Linotype" w:eastAsia="仿宋_GB2312" w:cs="Palatino Linotype"/>
                        <w:sz w:val="28"/>
                        <w:szCs w:val="28"/>
                      </w:rPr>
                    </w:pPr>
                    <w:r>
                      <w:rPr>
                        <w:rFonts w:ascii="宋体" w:hAnsi="宋体" w:eastAsia="宋体" w:cs="宋体"/>
                        <w:sz w:val="28"/>
                        <w:szCs w:val="28"/>
                      </w:rPr>
                      <w:t>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- 2 -</w:t>
                    </w:r>
                    <w:r>
                      <w:rPr>
                        <w:rFonts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MmUzYzQzOWNhNTY1YzlhOWMyOWQxODNhNGEyMWMifQ=="/>
  </w:docVars>
  <w:rsids>
    <w:rsidRoot w:val="3415372C"/>
    <w:rsid w:val="00253AAA"/>
    <w:rsid w:val="00CA323F"/>
    <w:rsid w:val="02583F4E"/>
    <w:rsid w:val="02DB45AC"/>
    <w:rsid w:val="07774D82"/>
    <w:rsid w:val="0E2E1449"/>
    <w:rsid w:val="0F767B5E"/>
    <w:rsid w:val="102864F3"/>
    <w:rsid w:val="1147511C"/>
    <w:rsid w:val="11663B40"/>
    <w:rsid w:val="125351EB"/>
    <w:rsid w:val="129F6E0A"/>
    <w:rsid w:val="14A44A93"/>
    <w:rsid w:val="14CA162C"/>
    <w:rsid w:val="16485461"/>
    <w:rsid w:val="178A00BC"/>
    <w:rsid w:val="17D365AD"/>
    <w:rsid w:val="18E92AD3"/>
    <w:rsid w:val="190E235D"/>
    <w:rsid w:val="19133DF5"/>
    <w:rsid w:val="1AAD7638"/>
    <w:rsid w:val="20835FE5"/>
    <w:rsid w:val="21E116E9"/>
    <w:rsid w:val="220C2BF9"/>
    <w:rsid w:val="252048E7"/>
    <w:rsid w:val="26491CC7"/>
    <w:rsid w:val="26A24FFF"/>
    <w:rsid w:val="2CE86127"/>
    <w:rsid w:val="2EE47719"/>
    <w:rsid w:val="2FCF6778"/>
    <w:rsid w:val="325334D9"/>
    <w:rsid w:val="325524D0"/>
    <w:rsid w:val="3415372C"/>
    <w:rsid w:val="35837878"/>
    <w:rsid w:val="36532C98"/>
    <w:rsid w:val="399E3751"/>
    <w:rsid w:val="3F070082"/>
    <w:rsid w:val="40670DB6"/>
    <w:rsid w:val="422C52AC"/>
    <w:rsid w:val="4390345E"/>
    <w:rsid w:val="444C2E05"/>
    <w:rsid w:val="447C0C1D"/>
    <w:rsid w:val="474A5481"/>
    <w:rsid w:val="4AC9030B"/>
    <w:rsid w:val="4AD50306"/>
    <w:rsid w:val="4D716B95"/>
    <w:rsid w:val="4F2F144C"/>
    <w:rsid w:val="4F3E1360"/>
    <w:rsid w:val="523F35B1"/>
    <w:rsid w:val="52BF1D03"/>
    <w:rsid w:val="5486586A"/>
    <w:rsid w:val="55461821"/>
    <w:rsid w:val="56927BEA"/>
    <w:rsid w:val="58312C48"/>
    <w:rsid w:val="591875F5"/>
    <w:rsid w:val="5BE23673"/>
    <w:rsid w:val="5C4D38DD"/>
    <w:rsid w:val="60084BC7"/>
    <w:rsid w:val="60D95FD5"/>
    <w:rsid w:val="613E122E"/>
    <w:rsid w:val="623A3420"/>
    <w:rsid w:val="63576AF7"/>
    <w:rsid w:val="63A17A19"/>
    <w:rsid w:val="642914B0"/>
    <w:rsid w:val="66D60D84"/>
    <w:rsid w:val="67420201"/>
    <w:rsid w:val="6A29097F"/>
    <w:rsid w:val="6AB63499"/>
    <w:rsid w:val="6B1A1FD9"/>
    <w:rsid w:val="6C6039CC"/>
    <w:rsid w:val="6C643F65"/>
    <w:rsid w:val="6C7A66EF"/>
    <w:rsid w:val="6EC42D8B"/>
    <w:rsid w:val="6F306579"/>
    <w:rsid w:val="748A146D"/>
    <w:rsid w:val="754E2325"/>
    <w:rsid w:val="75C25AE0"/>
    <w:rsid w:val="76D00FDF"/>
    <w:rsid w:val="773D7A97"/>
    <w:rsid w:val="78D91BC5"/>
    <w:rsid w:val="7AB20F74"/>
    <w:rsid w:val="7C281D37"/>
    <w:rsid w:val="7EA56568"/>
    <w:rsid w:val="7EB86893"/>
    <w:rsid w:val="7EF765F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Calibri" w:cs="Times New Roman"/>
      <w:kern w:val="2"/>
      <w:sz w:val="32"/>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semiHidden/>
    <w:qFormat/>
    <w:uiPriority w:val="0"/>
    <w:pPr>
      <w:autoSpaceDE w:val="0"/>
      <w:autoSpaceDN w:val="0"/>
      <w:adjustRightInd w:val="0"/>
      <w:jc w:val="left"/>
    </w:pPr>
    <w:rPr>
      <w:rFonts w:ascii="方正小标宋_GBK" w:hAnsi="宋体" w:eastAsia="方正小标宋_GBK" w:cs="Times New Roman"/>
      <w:color w:val="000000"/>
      <w:kern w:val="0"/>
      <w:sz w:val="24"/>
      <w:szCs w:val="24"/>
    </w:rPr>
  </w:style>
  <w:style w:type="paragraph" w:styleId="4">
    <w:name w:val="Body Text"/>
    <w:basedOn w:val="1"/>
    <w:link w:val="14"/>
    <w:qFormat/>
    <w:uiPriority w:val="0"/>
    <w:rPr>
      <w:rFonts w:hint="default" w:eastAsia="宋体"/>
      <w:sz w:val="30"/>
      <w:szCs w:val="30"/>
    </w:rPr>
  </w:style>
  <w:style w:type="paragraph" w:styleId="5">
    <w:name w:val="footer"/>
    <w:basedOn w:val="1"/>
    <w:link w:val="15"/>
    <w:qFormat/>
    <w:uiPriority w:val="0"/>
    <w:pPr>
      <w:tabs>
        <w:tab w:val="center" w:pos="4153"/>
        <w:tab w:val="right" w:pos="8306"/>
      </w:tabs>
      <w:snapToGrid w:val="0"/>
      <w:jc w:val="left"/>
    </w:pPr>
    <w:rPr>
      <w:rFonts w:hint="default" w:ascii="宋体" w:hAnsi="宋体" w:eastAsia="汉鼎简书宋"/>
      <w:kern w:val="0"/>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unhideWhenUsed/>
    <w:qFormat/>
    <w:uiPriority w:val="99"/>
    <w:rPr>
      <w:color w:val="0000FF"/>
      <w:u w:val="single"/>
    </w:rPr>
  </w:style>
  <w:style w:type="paragraph" w:customStyle="1" w:styleId="10">
    <w:name w:val="Normal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15"/>
      <w:szCs w:val="24"/>
      <w:lang w:val="en-US" w:eastAsia="zh-CN" w:bidi="ar-SA"/>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
    <w:name w:val="正文文本字符"/>
    <w:basedOn w:val="8"/>
    <w:link w:val="4"/>
    <w:qFormat/>
    <w:uiPriority w:val="0"/>
    <w:rPr>
      <w:rFonts w:ascii="Times New Roman" w:hAnsi="Times New Roman"/>
      <w:kern w:val="2"/>
      <w:sz w:val="30"/>
      <w:szCs w:val="30"/>
    </w:rPr>
  </w:style>
  <w:style w:type="character" w:customStyle="1" w:styleId="15">
    <w:name w:val="页脚字符"/>
    <w:link w:val="5"/>
    <w:qFormat/>
    <w:uiPriority w:val="0"/>
    <w:rPr>
      <w:rFonts w:ascii="宋体" w:hAnsi="宋体" w:eastAsia="汉鼎简书宋"/>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1482</Words>
  <Characters>1612</Characters>
  <Lines>10</Lines>
  <Paragraphs>3</Paragraphs>
  <TotalTime>1</TotalTime>
  <ScaleCrop>false</ScaleCrop>
  <LinksUpToDate>false</LinksUpToDate>
  <CharactersWithSpaces>1685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2021-06-03T10:39:00Z</dcterms:created>
  <dc:creator>刘倩</dc:creator>
  <cp:lastModifiedBy>刘某畅</cp:lastModifiedBy>
  <cp:lastPrinted>2022-06-28T01:56:00Z</cp:lastPrinted>
  <dcterms:modified xsi:type="dcterms:W3CDTF">2023-01-03T07:19:22Z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91619C8025CD4339A22146AF2224B000</vt:lpwstr>
  </property>
</Properties>
</file>