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default" w:ascii="Times New Roman" w:hAnsi="Times New Roman" w:eastAsia="方正小标宋" w:cs="Times New Roman"/>
          <w:b/>
          <w:bCs/>
          <w:color w:val="auto"/>
          <w:sz w:val="44"/>
          <w:szCs w:val="44"/>
        </w:rPr>
      </w:pPr>
    </w:p>
    <w:p>
      <w:pPr>
        <w:pStyle w:val="8"/>
        <w:snapToGrid w:val="0"/>
        <w:spacing w:line="560" w:lineRule="exact"/>
        <w:jc w:val="center"/>
        <w:rPr>
          <w:rFonts w:hint="default" w:ascii="Times New Roman" w:hAnsi="Times New Roman" w:eastAsia="方正小标宋" w:cs="Times New Roman"/>
          <w:b/>
          <w:bCs/>
          <w:color w:val="auto"/>
          <w:sz w:val="44"/>
          <w:szCs w:val="44"/>
        </w:rPr>
      </w:pPr>
    </w:p>
    <w:p>
      <w:pPr>
        <w:pStyle w:val="8"/>
        <w:snapToGrid w:val="0"/>
        <w:spacing w:line="560" w:lineRule="exact"/>
        <w:jc w:val="center"/>
        <w:rPr>
          <w:rFonts w:hint="default" w:ascii="Times New Roman" w:hAnsi="Times New Roman" w:eastAsia="方正小标宋" w:cs="Times New Roman"/>
          <w:b/>
          <w:bCs/>
          <w:color w:val="auto"/>
          <w:sz w:val="44"/>
          <w:szCs w:val="44"/>
        </w:rPr>
      </w:pPr>
      <w:r>
        <w:rPr>
          <w:rFonts w:hint="default" w:ascii="Times New Roman" w:hAnsi="Times New Roman" w:eastAsia="方正小标宋" w:cs="Times New Roman"/>
          <w:b/>
          <w:bCs/>
          <w:color w:val="auto"/>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2"/>
          <w:sz w:val="32"/>
          <w:szCs w:val="32"/>
          <w:lang w:val="en-US" w:eastAsia="zh-CN" w:bidi="ar-SA"/>
        </w:rPr>
        <w:t>穗环（越）法罚〔2022〕6号</w:t>
      </w:r>
    </w:p>
    <w:p>
      <w:pPr>
        <w:tabs>
          <w:tab w:val="center" w:pos="4416"/>
          <w:tab w:val="left" w:pos="7036"/>
        </w:tabs>
        <w:snapToGrid w:val="0"/>
        <w:spacing w:line="560" w:lineRule="exact"/>
        <w:jc w:val="left"/>
        <w:rPr>
          <w:rFonts w:hint="default" w:ascii="Times New Roman" w:hAnsi="Times New Roman" w:eastAsia="仿宋_GB2312" w:cs="Times New Roman"/>
          <w:color w:val="auto"/>
          <w:szCs w:val="30"/>
        </w:rPr>
      </w:pPr>
      <w:r>
        <w:rPr>
          <w:rFonts w:hint="default" w:ascii="Times New Roman" w:hAnsi="Times New Roman" w:eastAsia="仿宋_GB2312" w:cs="Times New Roman"/>
          <w:color w:val="auto"/>
          <w:szCs w:val="32"/>
        </w:rPr>
        <w:tab/>
      </w:r>
    </w:p>
    <w:p>
      <w:pPr>
        <w:pStyle w:val="3"/>
        <w:widowControl/>
        <w:shd w:val="clear" w:color="auto" w:fill="FFFFFF"/>
        <w:spacing w:before="0" w:beforeAutospacing="0" w:after="0" w:afterAutospacing="0" w:line="540" w:lineRule="exact"/>
        <w:rPr>
          <w:rFonts w:hint="default" w:ascii="Times New Roman" w:hAnsi="Times New Roman" w:eastAsia="仿宋_GB2312" w:cs="Times New Roman"/>
          <w:b w:val="0"/>
          <w:bCs w:val="0"/>
          <w:color w:val="auto"/>
          <w:kern w:val="2"/>
          <w:sz w:val="32"/>
          <w:szCs w:val="24"/>
        </w:rPr>
      </w:pPr>
      <w:r>
        <w:rPr>
          <w:rFonts w:hint="default" w:ascii="Times New Roman" w:hAnsi="Times New Roman" w:eastAsia="仿宋_GB2312" w:cs="Times New Roman"/>
          <w:b w:val="0"/>
          <w:bCs w:val="0"/>
          <w:color w:val="auto"/>
          <w:kern w:val="2"/>
          <w:sz w:val="32"/>
          <w:szCs w:val="24"/>
        </w:rPr>
        <w:t>当事人：广州文明微创医院</w:t>
      </w:r>
    </w:p>
    <w:p>
      <w:pPr>
        <w:pStyle w:val="3"/>
        <w:widowControl/>
        <w:shd w:val="clear" w:color="auto" w:fill="FFFFFF"/>
        <w:spacing w:before="0" w:beforeAutospacing="0" w:after="0" w:afterAutospacing="0" w:line="540" w:lineRule="exact"/>
        <w:rPr>
          <w:rFonts w:hint="default" w:ascii="Times New Roman" w:hAnsi="Times New Roman" w:eastAsia="仿宋_GB2312" w:cs="Times New Roman"/>
          <w:b w:val="0"/>
          <w:bCs w:val="0"/>
          <w:color w:val="auto"/>
          <w:kern w:val="2"/>
          <w:sz w:val="32"/>
          <w:szCs w:val="24"/>
        </w:rPr>
      </w:pPr>
      <w:r>
        <w:rPr>
          <w:rFonts w:hint="default" w:ascii="Times New Roman" w:hAnsi="Times New Roman" w:eastAsia="仿宋_GB2312" w:cs="Times New Roman"/>
          <w:b w:val="0"/>
          <w:bCs w:val="0"/>
          <w:color w:val="auto"/>
          <w:kern w:val="2"/>
          <w:sz w:val="32"/>
          <w:szCs w:val="24"/>
        </w:rPr>
        <w:t>统一社会信用代码：524401047661114762</w:t>
      </w:r>
      <w:r>
        <w:rPr>
          <w:rFonts w:hint="default" w:ascii="Times New Roman" w:hAnsi="Times New Roman" w:eastAsia="仿宋_GB2312" w:cs="Times New Roman"/>
          <w:b w:val="0"/>
          <w:bCs w:val="0"/>
          <w:color w:val="auto"/>
          <w:kern w:val="2"/>
          <w:sz w:val="32"/>
          <w:szCs w:val="24"/>
        </w:rPr>
        <w:tab/>
      </w:r>
    </w:p>
    <w:p>
      <w:pPr>
        <w:pStyle w:val="3"/>
        <w:widowControl/>
        <w:shd w:val="clear" w:color="auto" w:fill="FFFFFF"/>
        <w:spacing w:before="0" w:beforeAutospacing="0" w:after="0" w:afterAutospacing="0" w:line="540" w:lineRule="exact"/>
        <w:rPr>
          <w:rFonts w:hint="default" w:ascii="Times New Roman" w:hAnsi="Times New Roman" w:eastAsia="仿宋_GB2312" w:cs="Times New Roman"/>
          <w:b w:val="0"/>
          <w:bCs w:val="0"/>
          <w:color w:val="auto"/>
          <w:kern w:val="2"/>
          <w:sz w:val="32"/>
          <w:szCs w:val="24"/>
        </w:rPr>
      </w:pPr>
      <w:r>
        <w:rPr>
          <w:rFonts w:hint="default" w:ascii="Times New Roman" w:hAnsi="Times New Roman" w:eastAsia="仿宋_GB2312" w:cs="Times New Roman"/>
          <w:b w:val="0"/>
          <w:bCs w:val="0"/>
          <w:color w:val="auto"/>
          <w:kern w:val="2"/>
          <w:sz w:val="32"/>
          <w:szCs w:val="24"/>
        </w:rPr>
        <w:t>登记地址：广州市越秀区环市中路203号负一层,首层自编101房,三层至十一层全部</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rPr>
        <w:t>法定代表人：</w:t>
      </w:r>
      <w:r>
        <w:rPr>
          <w:rFonts w:hint="default" w:ascii="Times New Roman" w:hAnsi="Times New Roman" w:eastAsia="仿宋_GB2312" w:cs="Times New Roman"/>
          <w:b w:val="0"/>
          <w:bCs w:val="0"/>
          <w:color w:val="auto"/>
          <w:kern w:val="2"/>
          <w:sz w:val="32"/>
          <w:szCs w:val="24"/>
        </w:rPr>
        <w:fldChar w:fldCharType="begin"/>
      </w:r>
      <w:r>
        <w:rPr>
          <w:rFonts w:hint="default" w:ascii="Times New Roman" w:hAnsi="Times New Roman" w:eastAsia="仿宋_GB2312" w:cs="Times New Roman"/>
          <w:b w:val="0"/>
          <w:bCs w:val="0"/>
          <w:color w:val="auto"/>
          <w:kern w:val="2"/>
          <w:sz w:val="32"/>
          <w:szCs w:val="24"/>
        </w:rPr>
        <w:instrText xml:space="preserve"> HYPERLINK "https://www.qcc.com/pl/pr138005d8f347a8da1add63e3bf07ce.html" \t "https://www.qcc.com/firm/_blank" </w:instrText>
      </w:r>
      <w:r>
        <w:rPr>
          <w:rFonts w:hint="default" w:ascii="Times New Roman" w:hAnsi="Times New Roman" w:eastAsia="仿宋_GB2312" w:cs="Times New Roman"/>
          <w:b w:val="0"/>
          <w:bCs w:val="0"/>
          <w:color w:val="auto"/>
          <w:kern w:val="2"/>
          <w:sz w:val="32"/>
          <w:szCs w:val="24"/>
        </w:rPr>
        <w:fldChar w:fldCharType="separate"/>
      </w:r>
      <w:r>
        <w:rPr>
          <w:rFonts w:hint="default" w:ascii="Times New Roman" w:hAnsi="Times New Roman" w:eastAsia="仿宋_GB2312" w:cs="Times New Roman"/>
          <w:b w:val="0"/>
          <w:bCs w:val="0"/>
          <w:color w:val="auto"/>
          <w:kern w:val="2"/>
          <w:sz w:val="32"/>
          <w:szCs w:val="24"/>
        </w:rPr>
        <w:t>刘文胜</w:t>
      </w:r>
      <w:r>
        <w:rPr>
          <w:rFonts w:hint="default" w:ascii="Times New Roman" w:hAnsi="Times New Roman" w:eastAsia="仿宋_GB2312" w:cs="Times New Roman"/>
          <w:b w:val="0"/>
          <w:bCs w:val="0"/>
          <w:color w:val="auto"/>
          <w:kern w:val="2"/>
          <w:sz w:val="32"/>
          <w:szCs w:val="24"/>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color w:val="auto"/>
          <w:kern w:val="2"/>
          <w:sz w:val="32"/>
          <w:szCs w:val="24"/>
          <w:lang w:val="en-US" w:eastAsia="zh-CN" w:bidi="ar-SA"/>
        </w:rPr>
      </w:pPr>
    </w:p>
    <w:p>
      <w:pPr>
        <w:spacing w:line="560" w:lineRule="exact"/>
        <w:ind w:firstLine="624" w:firstLineChars="200"/>
        <w:rPr>
          <w:rFonts w:hint="default" w:ascii="Times New Roman" w:hAnsi="Times New Roman" w:eastAsia="仿宋_GB2312" w:cs="Times New Roman"/>
          <w:b w:val="0"/>
          <w:bCs w:val="0"/>
          <w:color w:val="auto"/>
          <w:szCs w:val="32"/>
        </w:rPr>
      </w:pPr>
      <w:r>
        <w:rPr>
          <w:rFonts w:hint="default" w:ascii="Times New Roman" w:hAnsi="Times New Roman" w:eastAsia="黑体" w:cs="Times New Roman"/>
          <w:b w:val="0"/>
          <w:bCs w:val="0"/>
          <w:color w:val="auto"/>
          <w:szCs w:val="32"/>
        </w:rPr>
        <w:t>一、当事人基本情况及违法事实情况</w:t>
      </w:r>
    </w:p>
    <w:p>
      <w:pPr>
        <w:pStyle w:val="4"/>
        <w:keepNext w:val="0"/>
        <w:keepLines w:val="0"/>
        <w:pageBreakBefore w:val="0"/>
        <w:widowControl w:val="0"/>
        <w:tabs>
          <w:tab w:val="left" w:pos="7382"/>
          <w:tab w:val="left" w:pos="7982"/>
        </w:tabs>
        <w:kinsoku/>
        <w:wordWrap/>
        <w:overflowPunct/>
        <w:topLinePunct w:val="0"/>
        <w:autoSpaceDE w:val="0"/>
        <w:autoSpaceDN w:val="0"/>
        <w:bidi w:val="0"/>
        <w:adjustRightInd/>
        <w:snapToGrid/>
        <w:spacing w:line="560" w:lineRule="exact"/>
        <w:ind w:right="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sz w:val="32"/>
          <w:szCs w:val="24"/>
        </w:rPr>
        <w:t>当事人在广州市越秀区环市中路203号负一层,首层自编101房,三层至十一层全部经营综合医院，并于2020年8月25日领取《排污许可证》，《排污许可证》表11载明，当事人需要建立环境管理台账记录表，环境管理台账记录表应包括监测记录信息、危险废物管理信息-医疗行业、污染防治设施运行管理信息三种类别，每种类别信息的记录内容、记录频次、记录形式、保存期限应符合要求。2022年8月15日，我局现场执法检查时，当事人无法提供</w:t>
      </w:r>
      <w:r>
        <w:rPr>
          <w:rFonts w:hint="default" w:ascii="Times New Roman" w:hAnsi="Times New Roman" w:eastAsia="仿宋_GB2312" w:cs="Times New Roman"/>
          <w:color w:val="auto"/>
          <w:sz w:val="32"/>
          <w:szCs w:val="24"/>
          <w:lang w:val="en-US" w:eastAsia="zh-CN"/>
        </w:rPr>
        <w:t>监测记录信息</w:t>
      </w:r>
      <w:r>
        <w:rPr>
          <w:rFonts w:hint="default" w:ascii="Times New Roman" w:hAnsi="Times New Roman" w:eastAsia="仿宋_GB2312" w:cs="Times New Roman"/>
          <w:color w:val="auto"/>
          <w:sz w:val="32"/>
          <w:szCs w:val="24"/>
        </w:rPr>
        <w:t>台账</w:t>
      </w:r>
      <w:r>
        <w:rPr>
          <w:rFonts w:hint="default" w:ascii="Times New Roman" w:hAnsi="Times New Roman" w:eastAsia="仿宋_GB2312" w:cs="Times New Roman"/>
          <w:color w:val="auto"/>
          <w:sz w:val="32"/>
          <w:szCs w:val="24"/>
          <w:lang w:val="en-US" w:eastAsia="zh-CN"/>
        </w:rPr>
        <w:t>和部分危险废物管理台账</w:t>
      </w:r>
      <w:r>
        <w:rPr>
          <w:rFonts w:hint="default" w:ascii="Times New Roman" w:hAnsi="Times New Roman" w:eastAsia="仿宋_GB2312" w:cs="Times New Roman"/>
          <w:color w:val="auto"/>
          <w:sz w:val="32"/>
          <w:szCs w:val="24"/>
        </w:rPr>
        <w:t>。2022年8月18日，当事人</w:t>
      </w:r>
      <w:r>
        <w:rPr>
          <w:rFonts w:hint="default" w:ascii="Times New Roman" w:hAnsi="Times New Roman" w:eastAsia="仿宋_GB2312" w:cs="Times New Roman"/>
          <w:color w:val="auto"/>
          <w:sz w:val="32"/>
          <w:szCs w:val="24"/>
          <w:lang w:val="en-US" w:eastAsia="zh-CN"/>
        </w:rPr>
        <w:t>补充了相关台账</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highlight w:val="none"/>
          <w:u w:val="none"/>
          <w:lang w:val="en-US" w:eastAsia="zh-CN"/>
        </w:rPr>
        <w:t>经审核，监测记录信息台账仍存在</w:t>
      </w:r>
      <w:r>
        <w:rPr>
          <w:rFonts w:hint="default" w:ascii="Times New Roman" w:hAnsi="Times New Roman" w:eastAsia="仿宋_GB2312" w:cs="Times New Roman"/>
          <w:color w:val="auto"/>
          <w:sz w:val="32"/>
          <w:szCs w:val="24"/>
          <w:u w:val="none"/>
          <w:lang w:val="en-US" w:eastAsia="zh-CN"/>
        </w:rPr>
        <w:t>未按规定的监测频次记录需监测的污染物等问题</w:t>
      </w:r>
      <w:r>
        <w:rPr>
          <w:rFonts w:hint="default" w:ascii="Times New Roman" w:hAnsi="Times New Roman" w:eastAsia="仿宋_GB2312" w:cs="Times New Roman"/>
          <w:color w:val="auto"/>
          <w:sz w:val="32"/>
          <w:szCs w:val="24"/>
          <w:u w:val="none"/>
          <w:lang w:eastAsia="zh-CN"/>
        </w:rPr>
        <w:t>。</w:t>
      </w:r>
    </w:p>
    <w:p>
      <w:pPr>
        <w:pStyle w:val="10"/>
        <w:snapToGrid w:val="0"/>
        <w:spacing w:line="560" w:lineRule="exact"/>
        <w:ind w:firstLine="624"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以上事实，有《现场检查（勘验）笔录》《调查询问笔录》《排污许可证》、现场照片等证据材料予以证实。</w:t>
      </w:r>
    </w:p>
    <w:p>
      <w:pPr>
        <w:pStyle w:val="10"/>
        <w:snapToGrid w:val="0"/>
        <w:spacing w:line="560" w:lineRule="exact"/>
        <w:ind w:firstLine="624" w:firstLineChars="200"/>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val="0"/>
          <w:bCs w:val="0"/>
          <w:color w:val="auto"/>
          <w:sz w:val="32"/>
          <w:szCs w:val="32"/>
        </w:rPr>
        <w:t>二、规范依据、拟处罚告知及意见采纳情况及处罚内容</w:t>
      </w:r>
    </w:p>
    <w:p>
      <w:pPr>
        <w:pStyle w:val="10"/>
        <w:snapToGrid w:val="0"/>
        <w:spacing w:line="560" w:lineRule="exact"/>
        <w:ind w:firstLine="62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当事人上述行为违反了《排污许可管理条例》第二十一条第一款的规定。</w:t>
      </w:r>
      <w:r>
        <w:rPr>
          <w:rFonts w:hint="default" w:ascii="Times New Roman" w:hAnsi="Times New Roman" w:eastAsia="仿宋_GB2312" w:cs="Times New Roman"/>
          <w:color w:val="auto"/>
          <w:sz w:val="32"/>
          <w:szCs w:val="32"/>
        </w:rPr>
        <w:t>2022年</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日我局向当事人送达《行政处罚事先告知书》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穗环</w:t>
      </w:r>
      <w:r>
        <w:rPr>
          <w:rFonts w:hint="default" w:ascii="Times New Roman" w:hAnsi="Times New Roman" w:eastAsia="仿宋_GB2312" w:cs="Times New Roman"/>
          <w:color w:val="auto"/>
          <w:sz w:val="32"/>
          <w:szCs w:val="32"/>
          <w:lang w:val="en-US" w:eastAsia="zh-CN"/>
        </w:rPr>
        <w:t>越</w:t>
      </w:r>
      <w:r>
        <w:rPr>
          <w:rFonts w:hint="default" w:ascii="Times New Roman" w:hAnsi="Times New Roman" w:eastAsia="仿宋_GB2312" w:cs="Times New Roman"/>
          <w:color w:val="auto"/>
          <w:sz w:val="32"/>
          <w:szCs w:val="32"/>
        </w:rPr>
        <w:t>罚告〔2022〕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，告知当事人拟作出的处罚内容及事实、理由、依据，并告知了陈述、申辩的权利。</w:t>
      </w:r>
      <w:r>
        <w:rPr>
          <w:rFonts w:hint="eastAsia" w:eastAsia="仿宋_GB2312" w:cs="Times New Roman"/>
          <w:color w:val="auto"/>
          <w:sz w:val="32"/>
          <w:szCs w:val="32"/>
          <w:lang w:val="en-US" w:eastAsia="zh-CN"/>
        </w:rPr>
        <w:t>当事人逾期未向我局提出陈述申辩意见</w:t>
      </w:r>
      <w:r>
        <w:rPr>
          <w:rFonts w:hint="eastAsia" w:ascii="Times New Roman" w:hAnsi="Times New Roman" w:eastAsia="仿宋_GB2312" w:cs="Times New Roman"/>
          <w:color w:val="auto"/>
          <w:sz w:val="32"/>
          <w:szCs w:val="32"/>
          <w:lang w:val="en-US" w:eastAsia="zh-CN"/>
        </w:rPr>
        <w:t>。</w:t>
      </w:r>
    </w:p>
    <w:p>
      <w:pPr>
        <w:pStyle w:val="10"/>
        <w:snapToGrid w:val="0"/>
        <w:spacing w:line="560" w:lineRule="exact"/>
        <w:ind w:firstLine="62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，我局认为当事人确有</w:t>
      </w:r>
      <w:r>
        <w:rPr>
          <w:rFonts w:hint="default" w:ascii="Times New Roman" w:hAnsi="Times New Roman" w:eastAsia="仿宋_GB2312" w:cs="Times New Roman"/>
          <w:color w:val="auto"/>
          <w:kern w:val="2"/>
          <w:sz w:val="32"/>
          <w:szCs w:val="24"/>
          <w:lang w:val="en-US" w:eastAsia="zh-CN" w:bidi="ar-SA"/>
        </w:rPr>
        <w:t>未按照排污许可证规定记录环境管理台账</w:t>
      </w:r>
      <w:r>
        <w:rPr>
          <w:rFonts w:hint="default" w:ascii="Times New Roman" w:hAnsi="Times New Roman" w:eastAsia="仿宋_GB2312" w:cs="Times New Roman"/>
          <w:color w:val="auto"/>
          <w:sz w:val="32"/>
          <w:szCs w:val="32"/>
          <w:highlight w:val="none"/>
        </w:rPr>
        <w:t>的违法行为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现本案经我局审查结束</w:t>
      </w:r>
      <w:r>
        <w:rPr>
          <w:rFonts w:hint="default" w:ascii="Times New Roman" w:hAnsi="Times New Roman" w:eastAsia="仿宋_GB2312" w:cs="Times New Roman"/>
          <w:color w:val="auto"/>
          <w:sz w:val="32"/>
          <w:szCs w:val="32"/>
          <w:highlight w:val="none"/>
          <w:lang w:eastAsia="zh-CN"/>
        </w:rPr>
        <w:t>。</w:t>
      </w:r>
    </w:p>
    <w:p>
      <w:pPr>
        <w:pStyle w:val="10"/>
        <w:snapToGrid w:val="0"/>
        <w:spacing w:line="560" w:lineRule="exact"/>
        <w:ind w:firstLine="62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kern w:val="0"/>
          <w:sz w:val="32"/>
          <w:szCs w:val="32"/>
          <w:lang w:val="en-US" w:eastAsia="zh-CN"/>
        </w:rPr>
        <w:t>根据《排污许可管理条例》第三十七条第一项和《广东省生态环境厅关于印发&lt;广东省生态环境行政处罚自由裁量权规定&gt;的通知》（粤环发〔2021〕7</w:t>
      </w:r>
      <w:bookmarkStart w:id="0" w:name="_GoBack"/>
      <w:bookmarkEnd w:id="0"/>
      <w:r>
        <w:rPr>
          <w:rFonts w:hint="default" w:ascii="Times New Roman" w:hAnsi="Times New Roman" w:eastAsia="仿宋_GB2312" w:cs="Times New Roman"/>
          <w:b w:val="0"/>
          <w:bCs w:val="0"/>
          <w:color w:val="auto"/>
          <w:kern w:val="0"/>
          <w:sz w:val="32"/>
          <w:szCs w:val="32"/>
          <w:lang w:val="en-US" w:eastAsia="zh-CN"/>
        </w:rPr>
        <w:t>号）附件1《广东省生态环境违法行为行政处罚罚款金额裁量表》第8.36点的规定</w:t>
      </w:r>
      <w:r>
        <w:rPr>
          <w:rFonts w:hint="default" w:ascii="Times New Roman" w:hAnsi="Times New Roman" w:eastAsia="仿宋_GB2312" w:cs="Times New Roman"/>
          <w:color w:val="auto"/>
          <w:sz w:val="32"/>
          <w:lang w:val="en-US" w:eastAsia="zh-CN"/>
        </w:rPr>
        <w:t>，我局现对当事人作出如下决定</w:t>
      </w:r>
      <w:r>
        <w:rPr>
          <w:rFonts w:hint="default" w:ascii="Times New Roman" w:hAnsi="Times New Roman" w:eastAsia="仿宋_GB2312" w:cs="Times New Roman"/>
          <w:color w:val="auto"/>
          <w:sz w:val="32"/>
          <w:szCs w:val="32"/>
        </w:rPr>
        <w:t>：</w:t>
      </w:r>
    </w:p>
    <w:p>
      <w:pPr>
        <w:pStyle w:val="4"/>
        <w:keepNext w:val="0"/>
        <w:keepLines w:val="0"/>
        <w:pageBreakBefore w:val="0"/>
        <w:widowControl w:val="0"/>
        <w:numPr>
          <w:ilvl w:val="0"/>
          <w:numId w:val="0"/>
        </w:numPr>
        <w:tabs>
          <w:tab w:val="left" w:pos="7982"/>
        </w:tabs>
        <w:kinsoku/>
        <w:wordWrap/>
        <w:overflowPunct/>
        <w:topLinePunct w:val="0"/>
        <w:autoSpaceDE/>
        <w:autoSpaceDN/>
        <w:bidi w:val="0"/>
        <w:adjustRightInd/>
        <w:snapToGrid/>
        <w:spacing w:line="560" w:lineRule="exact"/>
        <w:ind w:right="0" w:rightChars="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1、责令立即改正违法行为；</w:t>
      </w:r>
    </w:p>
    <w:p>
      <w:pPr>
        <w:pStyle w:val="4"/>
        <w:keepNext w:val="0"/>
        <w:keepLines w:val="0"/>
        <w:pageBreakBefore w:val="0"/>
        <w:widowControl w:val="0"/>
        <w:numPr>
          <w:ilvl w:val="0"/>
          <w:numId w:val="0"/>
        </w:numPr>
        <w:tabs>
          <w:tab w:val="left" w:pos="7982"/>
        </w:tabs>
        <w:kinsoku/>
        <w:wordWrap/>
        <w:overflowPunct/>
        <w:topLinePunct w:val="0"/>
        <w:autoSpaceDE/>
        <w:autoSpaceDN/>
        <w:bidi w:val="0"/>
        <w:adjustRightInd/>
        <w:snapToGrid/>
        <w:spacing w:line="560" w:lineRule="exact"/>
        <w:ind w:right="0" w:rightChars="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2、罚款柒仟伍佰元整（</w:t>
      </w:r>
      <w:r>
        <w:rPr>
          <w:rFonts w:hint="default" w:ascii="Times New Roman" w:hAnsi="Times New Roman" w:eastAsia="仿宋_GB2312" w:cs="Times New Roman"/>
          <w:b w:val="0"/>
          <w:bCs w:val="0"/>
          <w:color w:val="auto"/>
          <w:kern w:val="0"/>
          <w:sz w:val="32"/>
          <w:szCs w:val="32"/>
          <w:lang w:val="en-US" w:eastAsia="zh-CN"/>
        </w:rPr>
        <w:t>7500元</w:t>
      </w:r>
      <w:r>
        <w:rPr>
          <w:rFonts w:hint="default" w:ascii="Times New Roman" w:hAnsi="Times New Roman" w:eastAsia="仿宋_GB2312" w:cs="Times New Roman"/>
          <w:color w:val="auto"/>
          <w:kern w:val="2"/>
          <w:sz w:val="32"/>
          <w:szCs w:val="24"/>
          <w:lang w:val="en-US" w:eastAsia="zh-CN" w:bidi="ar-SA"/>
        </w:rPr>
        <w:t>）。</w:t>
      </w:r>
    </w:p>
    <w:p>
      <w:pPr>
        <w:spacing w:line="560" w:lineRule="exact"/>
        <w:ind w:firstLine="624" w:firstLineChars="200"/>
        <w:rPr>
          <w:rFonts w:hint="default" w:ascii="Times New Roman" w:hAnsi="Times New Roman" w:eastAsia="仿宋_GB2312" w:cs="Times New Roman"/>
          <w:b/>
          <w:bCs/>
          <w:color w:val="auto"/>
          <w:szCs w:val="32"/>
        </w:rPr>
      </w:pPr>
      <w:r>
        <w:rPr>
          <w:rFonts w:hint="default" w:ascii="Times New Roman" w:hAnsi="Times New Roman" w:eastAsia="黑体" w:cs="Times New Roman"/>
          <w:b w:val="0"/>
          <w:bCs w:val="0"/>
          <w:color w:val="auto"/>
          <w:szCs w:val="32"/>
        </w:rPr>
        <w:t>三、处罚内容的履行要求和当事人的救济权利</w:t>
      </w:r>
    </w:p>
    <w:p>
      <w:pPr>
        <w:spacing w:line="560" w:lineRule="exact"/>
        <w:rPr>
          <w:rFonts w:hint="default" w:ascii="Times New Roman" w:hAnsi="Times New Roman" w:eastAsia="仿宋_GB2312" w:cs="Times New Roman"/>
          <w:bCs/>
          <w:color w:val="auto"/>
          <w:szCs w:val="32"/>
          <w:u w:val="single"/>
        </w:rPr>
      </w:pPr>
      <w:r>
        <w:rPr>
          <w:rFonts w:hint="default" w:ascii="Times New Roman" w:hAnsi="Times New Roman" w:eastAsia="仿宋_GB2312" w:cs="Times New Roman"/>
          <w:b/>
          <w:bCs/>
          <w:color w:val="auto"/>
          <w:szCs w:val="32"/>
        </w:rPr>
        <w:t xml:space="preserve"> </w:t>
      </w:r>
      <w:r>
        <w:rPr>
          <w:rFonts w:hint="default" w:ascii="Times New Roman" w:hAnsi="Times New Roman" w:eastAsia="仿宋_GB2312" w:cs="Times New Roman"/>
          <w:b/>
          <w:bCs/>
          <w:color w:val="auto"/>
          <w:szCs w:val="32"/>
          <w:lang w:val="en-US" w:eastAsia="zh-CN"/>
        </w:rPr>
        <w:t xml:space="preserve">   </w:t>
      </w:r>
      <w:r>
        <w:rPr>
          <w:rFonts w:hint="default" w:ascii="Times New Roman" w:hAnsi="Times New Roman" w:eastAsia="仿宋_GB2312" w:cs="Times New Roman"/>
          <w:bCs/>
          <w:color w:val="auto"/>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color w:val="auto"/>
          <w:szCs w:val="32"/>
        </w:rPr>
        <w:t>），收入项目编码：</w:t>
      </w:r>
      <w:r>
        <w:rPr>
          <w:rFonts w:hint="default" w:ascii="Times New Roman" w:hAnsi="Times New Roman" w:eastAsia="仿宋_GB2312" w:cs="Times New Roman"/>
          <w:bCs/>
          <w:color w:val="auto"/>
          <w:szCs w:val="32"/>
          <w:lang w:val="en-US" w:eastAsia="zh-CN"/>
        </w:rPr>
        <w:t>103050125100</w:t>
      </w:r>
      <w:r>
        <w:rPr>
          <w:rFonts w:hint="default" w:ascii="Times New Roman" w:hAnsi="Times New Roman" w:eastAsia="仿宋_GB2312" w:cs="Times New Roman"/>
          <w:bCs/>
          <w:color w:val="auto"/>
          <w:szCs w:val="32"/>
        </w:rPr>
        <w:t>。</w:t>
      </w:r>
    </w:p>
    <w:p>
      <w:pPr>
        <w:spacing w:line="560" w:lineRule="exact"/>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 xml:space="preserve"> </w:t>
      </w:r>
      <w:r>
        <w:rPr>
          <w:rFonts w:hint="default" w:ascii="Times New Roman" w:hAnsi="Times New Roman" w:eastAsia="仿宋_GB2312" w:cs="Times New Roman"/>
          <w:bCs/>
          <w:color w:val="auto"/>
          <w:szCs w:val="32"/>
          <w:lang w:val="en-US" w:eastAsia="zh-CN"/>
        </w:rPr>
        <w:t xml:space="preserve">   </w:t>
      </w:r>
      <w:r>
        <w:rPr>
          <w:rFonts w:hint="default" w:ascii="Times New Roman" w:hAnsi="Times New Roman" w:eastAsia="仿宋_GB2312" w:cs="Times New Roman"/>
          <w:bCs/>
          <w:color w:val="auto"/>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0"/>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9"/>
        <w:snapToGrid w:val="0"/>
        <w:spacing w:line="560" w:lineRule="exact"/>
        <w:ind w:firstLine="622"/>
        <w:rPr>
          <w:rFonts w:hint="default" w:ascii="Times New Roman" w:hAnsi="Times New Roman" w:eastAsia="仿宋_GB2312" w:cs="Times New Roman"/>
          <w:color w:val="auto"/>
          <w:sz w:val="32"/>
          <w:szCs w:val="32"/>
        </w:rPr>
      </w:pPr>
    </w:p>
    <w:p>
      <w:pPr>
        <w:pStyle w:val="9"/>
        <w:snapToGrid w:val="0"/>
        <w:spacing w:line="560" w:lineRule="exact"/>
        <w:ind w:firstLine="622"/>
        <w:rPr>
          <w:rFonts w:hint="default" w:ascii="Times New Roman" w:hAnsi="Times New Roman" w:eastAsia="仿宋_GB2312" w:cs="Times New Roman"/>
          <w:color w:val="auto"/>
          <w:sz w:val="32"/>
          <w:szCs w:val="32"/>
        </w:rPr>
      </w:pPr>
    </w:p>
    <w:p>
      <w:pPr>
        <w:tabs>
          <w:tab w:val="left" w:pos="0"/>
        </w:tabs>
        <w:snapToGrid w:val="0"/>
        <w:spacing w:line="560" w:lineRule="exact"/>
        <w:ind w:right="1244" w:firstLine="622"/>
        <w:jc w:val="left"/>
        <w:rPr>
          <w:rFonts w:hint="default" w:ascii="Times New Roman" w:hAnsi="Times New Roman" w:eastAsia="仿宋_GB2312" w:cs="Times New Roman"/>
          <w:color w:val="auto"/>
          <w:spacing w:val="-6"/>
          <w:szCs w:val="32"/>
        </w:rPr>
      </w:pP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广州市生态环境局</w:t>
      </w:r>
    </w:p>
    <w:p>
      <w:pPr>
        <w:tabs>
          <w:tab w:val="left" w:pos="0"/>
        </w:tabs>
        <w:snapToGrid w:val="0"/>
        <w:spacing w:line="560" w:lineRule="exact"/>
        <w:ind w:right="1685" w:rightChars="0" w:firstLine="610"/>
        <w:jc w:val="right"/>
        <w:rPr>
          <w:rFonts w:hint="default" w:ascii="Times New Roman" w:hAnsi="Times New Roman" w:cs="Times New Roman"/>
          <w:color w:val="auto"/>
        </w:rPr>
      </w:pPr>
      <w:r>
        <w:rPr>
          <w:rFonts w:hint="default" w:ascii="Times New Roman" w:hAnsi="Times New Roman" w:eastAsia="仿宋_GB2312" w:cs="Times New Roman"/>
          <w:color w:val="auto"/>
          <w:spacing w:val="-6"/>
          <w:szCs w:val="32"/>
        </w:rPr>
        <w:t xml:space="preserve">                             202</w:t>
      </w:r>
      <w:r>
        <w:rPr>
          <w:rFonts w:hint="default" w:ascii="Times New Roman" w:hAnsi="Times New Roman" w:eastAsia="仿宋_GB2312" w:cs="Times New Roman"/>
          <w:color w:val="auto"/>
          <w:spacing w:val="-6"/>
          <w:szCs w:val="32"/>
          <w:lang w:val="en-US" w:eastAsia="zh-CN"/>
        </w:rPr>
        <w:t>2</w:t>
      </w:r>
      <w:r>
        <w:rPr>
          <w:rFonts w:hint="default" w:ascii="Times New Roman" w:hAnsi="Times New Roman" w:eastAsia="仿宋_GB2312" w:cs="Times New Roman"/>
          <w:color w:val="auto"/>
          <w:spacing w:val="-6"/>
          <w:szCs w:val="32"/>
        </w:rPr>
        <w:t>年</w:t>
      </w:r>
      <w:r>
        <w:rPr>
          <w:rFonts w:hint="eastAsia" w:ascii="Times New Roman" w:hAnsi="Times New Roman" w:eastAsia="仿宋_GB2312" w:cs="Times New Roman"/>
          <w:color w:val="auto"/>
          <w:spacing w:val="-6"/>
          <w:szCs w:val="32"/>
          <w:lang w:val="en-US" w:eastAsia="zh-CN"/>
        </w:rPr>
        <w:t>9</w:t>
      </w:r>
      <w:r>
        <w:rPr>
          <w:rFonts w:hint="default" w:ascii="Times New Roman" w:hAnsi="Times New Roman" w:eastAsia="仿宋_GB2312" w:cs="Times New Roman"/>
          <w:color w:val="auto"/>
          <w:spacing w:val="-6"/>
          <w:szCs w:val="32"/>
        </w:rPr>
        <w:t>月</w:t>
      </w:r>
      <w:r>
        <w:rPr>
          <w:rFonts w:hint="eastAsia" w:eastAsia="仿宋_GB2312" w:cs="Times New Roman"/>
          <w:color w:val="auto"/>
          <w:spacing w:val="-6"/>
          <w:szCs w:val="32"/>
          <w:lang w:val="en-US" w:eastAsia="zh-CN"/>
        </w:rPr>
        <w:t>30</w:t>
      </w:r>
      <w:r>
        <w:rPr>
          <w:rFonts w:hint="default" w:ascii="Times New Roman" w:hAnsi="Times New Roman" w:eastAsia="仿宋_GB2312" w:cs="Times New Roman"/>
          <w:color w:val="auto"/>
          <w:spacing w:val="-6"/>
          <w:szCs w:val="32"/>
        </w:rPr>
        <w:t>日</w:t>
      </w:r>
    </w:p>
    <w:p>
      <w:pPr>
        <w:pStyle w:val="2"/>
        <w:rPr>
          <w:rFonts w:hint="default" w:ascii="Times New Roman" w:hAnsi="Times New Roman" w:cs="Times New Roman"/>
          <w:color w:val="auto"/>
        </w:rPr>
      </w:pPr>
    </w:p>
    <w:p>
      <w:pPr>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联系地址：广州市西华路第一津街50、52号首层、二层和人民北路863号首层                              </w:t>
      </w:r>
    </w:p>
    <w:p>
      <w:pPr>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联系电话：8107506</w:t>
      </w:r>
      <w:r>
        <w:rPr>
          <w:rFonts w:hint="eastAsia" w:ascii="Times New Roman" w:hAnsi="Times New Roman" w:eastAsia="仿宋_GB2312" w:cs="Times New Roman"/>
          <w:color w:val="auto"/>
          <w:sz w:val="32"/>
          <w:szCs w:val="32"/>
          <w:lang w:val="en-US" w:eastAsia="zh-CN"/>
        </w:rPr>
        <w:t>3</w:t>
      </w:r>
    </w:p>
    <w:p>
      <w:pPr>
        <w:spacing w:line="560" w:lineRule="exact"/>
        <w:rPr>
          <w:rFonts w:hint="default" w:ascii="Times New Roman" w:hAnsi="Times New Roman" w:cs="Times New Roman"/>
          <w:color w:val="auto"/>
          <w:highlight w:val="yellow"/>
        </w:rPr>
      </w:pPr>
      <w:r>
        <w:rPr>
          <w:rFonts w:hint="default" w:ascii="Times New Roman" w:hAnsi="Times New Roman" w:eastAsia="仿宋_GB2312" w:cs="Times New Roman"/>
          <w:color w:val="auto"/>
          <w:sz w:val="32"/>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mRkM2Q5M2ZmNjJjNmI4ZDFlZjZlMjdmOTFjYmIifQ=="/>
  </w:docVars>
  <w:rsids>
    <w:rsidRoot w:val="3415372C"/>
    <w:rsid w:val="00253AAA"/>
    <w:rsid w:val="00CA323F"/>
    <w:rsid w:val="02583F4E"/>
    <w:rsid w:val="02DB45AC"/>
    <w:rsid w:val="07774D82"/>
    <w:rsid w:val="0CE505BF"/>
    <w:rsid w:val="0F767B5E"/>
    <w:rsid w:val="0FAE0728"/>
    <w:rsid w:val="102864F3"/>
    <w:rsid w:val="1147511C"/>
    <w:rsid w:val="132B5D78"/>
    <w:rsid w:val="14A44A93"/>
    <w:rsid w:val="14CA162C"/>
    <w:rsid w:val="150C2539"/>
    <w:rsid w:val="16485461"/>
    <w:rsid w:val="178A00BC"/>
    <w:rsid w:val="17D365AD"/>
    <w:rsid w:val="18E92AD3"/>
    <w:rsid w:val="190E235D"/>
    <w:rsid w:val="19133DF5"/>
    <w:rsid w:val="1AAD7638"/>
    <w:rsid w:val="20835FE5"/>
    <w:rsid w:val="21E116E9"/>
    <w:rsid w:val="220C2BF9"/>
    <w:rsid w:val="252048E7"/>
    <w:rsid w:val="261829C3"/>
    <w:rsid w:val="26A24FFF"/>
    <w:rsid w:val="2CE86127"/>
    <w:rsid w:val="2EE47719"/>
    <w:rsid w:val="305F1BAF"/>
    <w:rsid w:val="324C6650"/>
    <w:rsid w:val="325334D9"/>
    <w:rsid w:val="325524D0"/>
    <w:rsid w:val="3415372C"/>
    <w:rsid w:val="3569641C"/>
    <w:rsid w:val="36532C98"/>
    <w:rsid w:val="37A80135"/>
    <w:rsid w:val="3F070082"/>
    <w:rsid w:val="422C52AC"/>
    <w:rsid w:val="4390345E"/>
    <w:rsid w:val="465E01FE"/>
    <w:rsid w:val="474A5481"/>
    <w:rsid w:val="4A333B27"/>
    <w:rsid w:val="4AC9030B"/>
    <w:rsid w:val="4AD50306"/>
    <w:rsid w:val="4D716B95"/>
    <w:rsid w:val="4F2F144C"/>
    <w:rsid w:val="4F3E1360"/>
    <w:rsid w:val="523F35B1"/>
    <w:rsid w:val="55461821"/>
    <w:rsid w:val="58312C48"/>
    <w:rsid w:val="58450D94"/>
    <w:rsid w:val="60D95FD5"/>
    <w:rsid w:val="613E122E"/>
    <w:rsid w:val="63576AF7"/>
    <w:rsid w:val="642914B0"/>
    <w:rsid w:val="649A39D0"/>
    <w:rsid w:val="66D60D84"/>
    <w:rsid w:val="67420201"/>
    <w:rsid w:val="696A3680"/>
    <w:rsid w:val="6AB63499"/>
    <w:rsid w:val="6B1A1FD9"/>
    <w:rsid w:val="6C643F65"/>
    <w:rsid w:val="6EC42D8B"/>
    <w:rsid w:val="6F306579"/>
    <w:rsid w:val="75C25AE0"/>
    <w:rsid w:val="773D7A97"/>
    <w:rsid w:val="78D91BC5"/>
    <w:rsid w:val="7AB20F74"/>
    <w:rsid w:val="7C281D37"/>
    <w:rsid w:val="7EB868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2"/>
    <w:qFormat/>
    <w:uiPriority w:val="0"/>
    <w:rPr>
      <w:rFonts w:hint="default" w:eastAsia="宋体"/>
      <w:sz w:val="30"/>
      <w:szCs w:val="30"/>
    </w:rPr>
  </w:style>
  <w:style w:type="paragraph" w:styleId="5">
    <w:name w:val="footer"/>
    <w:basedOn w:val="1"/>
    <w:link w:val="13"/>
    <w:qFormat/>
    <w:uiPriority w:val="0"/>
    <w:pPr>
      <w:tabs>
        <w:tab w:val="center" w:pos="4153"/>
        <w:tab w:val="right" w:pos="8306"/>
      </w:tabs>
      <w:snapToGrid w:val="0"/>
      <w:jc w:val="left"/>
    </w:pPr>
    <w:rPr>
      <w:rFonts w:hint="default" w:ascii="宋体" w:hAnsi="宋体" w:eastAsia="汉鼎简书宋"/>
      <w:kern w:val="0"/>
      <w:sz w:val="18"/>
    </w:rPr>
  </w:style>
  <w:style w:type="paragraph" w:customStyle="1" w:styleId="8">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正文文本字符"/>
    <w:basedOn w:val="7"/>
    <w:link w:val="4"/>
    <w:qFormat/>
    <w:uiPriority w:val="0"/>
    <w:rPr>
      <w:rFonts w:ascii="Times New Roman" w:hAnsi="Times New Roman"/>
      <w:kern w:val="2"/>
      <w:sz w:val="30"/>
      <w:szCs w:val="30"/>
    </w:rPr>
  </w:style>
  <w:style w:type="character" w:customStyle="1" w:styleId="13">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1324</Words>
  <Characters>1450</Characters>
  <Lines>10</Lines>
  <Paragraphs>3</Paragraphs>
  <TotalTime>2</TotalTime>
  <ScaleCrop>false</ScaleCrop>
  <LinksUpToDate>false</LinksUpToDate>
  <CharactersWithSpaces>1551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2022-09-29T10:17:04Z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9985E16ECA3245FAAAF6299EF2068CDA</vt:lpwstr>
  </property>
</Properties>
</file>