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06CD3">
      <w:pPr>
        <w:pStyle w:val="9"/>
        <w:rPr>
          <w:rFonts w:hint="eastAsia" w:ascii="黑体" w:hAnsi="黑体" w:eastAsia="黑体" w:cs="宋体"/>
          <w:snapToGrid w:val="0"/>
          <w:sz w:val="32"/>
          <w:szCs w:val="30"/>
        </w:rPr>
      </w:pPr>
      <w:r>
        <w:rPr>
          <w:rFonts w:hint="eastAsia" w:ascii="黑体" w:hAnsi="黑体" w:eastAsia="黑体" w:cs="宋体"/>
          <w:snapToGrid w:val="0"/>
          <w:sz w:val="32"/>
          <w:szCs w:val="30"/>
        </w:rPr>
        <w:t>附件2</w:t>
      </w:r>
    </w:p>
    <w:p w14:paraId="7772CB17">
      <w:pPr>
        <w:pStyle w:val="9"/>
        <w:jc w:val="center"/>
        <w:rPr>
          <w:rFonts w:hint="eastAsia" w:eastAsia="华康简标题宋"/>
          <w:snapToGrid w:val="0"/>
          <w:sz w:val="44"/>
          <w:szCs w:val="44"/>
        </w:rPr>
      </w:pPr>
    </w:p>
    <w:p w14:paraId="05907F0F">
      <w:pPr>
        <w:spacing w:line="579" w:lineRule="exact"/>
        <w:jc w:val="center"/>
        <w:rPr>
          <w:rFonts w:hint="eastAsia" w:eastAsia="方正小标宋_GBK"/>
          <w:sz w:val="44"/>
          <w:szCs w:val="44"/>
        </w:rPr>
      </w:pPr>
      <w:r>
        <w:rPr>
          <w:rFonts w:hint="eastAsia" w:eastAsia="方正小标宋_GBK"/>
          <w:sz w:val="44"/>
          <w:szCs w:val="44"/>
        </w:rPr>
        <w:t>广州市瑶台城中村改造项目（一期）A区</w:t>
      </w:r>
    </w:p>
    <w:p w14:paraId="1F06059B">
      <w:pPr>
        <w:spacing w:line="579" w:lineRule="exact"/>
        <w:jc w:val="center"/>
        <w:rPr>
          <w:rFonts w:hint="eastAsia" w:eastAsia="方正小标宋_GBK"/>
          <w:sz w:val="44"/>
          <w:szCs w:val="44"/>
        </w:rPr>
      </w:pPr>
      <w:r>
        <w:rPr>
          <w:rFonts w:hint="eastAsia" w:eastAsia="方正小标宋_GBK"/>
          <w:sz w:val="44"/>
          <w:szCs w:val="44"/>
        </w:rPr>
        <w:t>地块国有土地上房屋征收补偿方案</w:t>
      </w:r>
    </w:p>
    <w:p w14:paraId="3C54BEBD">
      <w:pPr>
        <w:pStyle w:val="10"/>
        <w:tabs>
          <w:tab w:val="left" w:pos="1360"/>
        </w:tabs>
        <w:jc w:val="center"/>
        <w:rPr>
          <w:rFonts w:hint="eastAsia" w:eastAsia="仿宋_GB2312"/>
          <w:snapToGrid w:val="0"/>
          <w:sz w:val="32"/>
          <w:szCs w:val="30"/>
        </w:rPr>
      </w:pPr>
    </w:p>
    <w:p w14:paraId="74F78582">
      <w:pPr>
        <w:pStyle w:val="11"/>
        <w:tabs>
          <w:tab w:val="left" w:pos="1271"/>
        </w:tabs>
        <w:spacing w:line="560" w:lineRule="exact"/>
        <w:ind w:firstLine="632" w:firstLineChars="200"/>
        <w:outlineLvl w:val="0"/>
        <w:rPr>
          <w:rFonts w:hint="eastAsia" w:ascii="Times New Roman" w:hAnsi="Times New Roman" w:eastAsia="黑体" w:cs="Times New Roman"/>
          <w:b/>
          <w:bCs/>
          <w:sz w:val="32"/>
          <w:szCs w:val="32"/>
        </w:rPr>
      </w:pPr>
      <w:r>
        <w:rPr>
          <w:rFonts w:hint="eastAsia" w:ascii="Times New Roman" w:hAnsi="黑体" w:eastAsia="黑体" w:cs="Times New Roman"/>
          <w:bCs/>
          <w:sz w:val="32"/>
          <w:szCs w:val="32"/>
        </w:rPr>
        <w:t>一、适用范围</w:t>
      </w:r>
    </w:p>
    <w:p w14:paraId="1AF0DC78">
      <w:pPr>
        <w:pStyle w:val="11"/>
        <w:spacing w:line="560" w:lineRule="exact"/>
        <w:ind w:firstLine="632"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本方案适用于《广州市越秀区人民政府关于征收国有土地上</w:t>
      </w:r>
      <w:r>
        <w:rPr>
          <w:rFonts w:hint="eastAsia" w:ascii="Times New Roman" w:hAnsi="Times New Roman" w:eastAsia="仿宋_GB2312" w:cs="Times New Roman"/>
          <w:snapToGrid/>
          <w:sz w:val="32"/>
          <w:szCs w:val="32"/>
          <w:lang w:val="en-US" w:eastAsia="zh-CN"/>
        </w:rPr>
        <w:t>房屋的决定》（越府征房〔2025〕1号）确定的征收范围内具有合</w:t>
      </w:r>
      <w:r>
        <w:rPr>
          <w:rFonts w:hint="eastAsia" w:ascii="Times New Roman" w:hAnsi="Times New Roman" w:eastAsia="仿宋_GB2312" w:cs="Times New Roman"/>
          <w:sz w:val="32"/>
          <w:szCs w:val="32"/>
          <w:lang w:val="en-US" w:eastAsia="zh-CN"/>
        </w:rPr>
        <w:t>法产权的房屋及其附属设施的所有权人以及符合相关政策规定应当给予补偿的房屋及其附属设施的权利人（以下称被征收人）。</w:t>
      </w:r>
    </w:p>
    <w:p w14:paraId="11F4A978">
      <w:pPr>
        <w:pStyle w:val="11"/>
        <w:tabs>
          <w:tab w:val="left" w:pos="1271"/>
        </w:tabs>
        <w:spacing w:line="560" w:lineRule="exact"/>
        <w:ind w:firstLine="632" w:firstLineChars="200"/>
        <w:outlineLvl w:val="0"/>
        <w:rPr>
          <w:rFonts w:hint="eastAsia" w:ascii="Times New Roman" w:hAnsi="Times New Roman" w:eastAsia="黑体" w:cs="Times New Roman"/>
          <w:bCs/>
          <w:sz w:val="32"/>
          <w:szCs w:val="32"/>
        </w:rPr>
      </w:pPr>
      <w:r>
        <w:rPr>
          <w:rFonts w:hint="eastAsia" w:ascii="Times New Roman" w:hAnsi="黑体" w:eastAsia="黑体" w:cs="Times New Roman"/>
          <w:bCs/>
          <w:sz w:val="32"/>
          <w:szCs w:val="32"/>
        </w:rPr>
        <w:t>二、签约期限</w:t>
      </w:r>
    </w:p>
    <w:p w14:paraId="188F401E">
      <w:pPr>
        <w:pStyle w:val="11"/>
        <w:spacing w:line="560" w:lineRule="exact"/>
        <w:ind w:firstLine="632"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自征收决定发布之日起至2025年3月27日止。</w:t>
      </w:r>
    </w:p>
    <w:p w14:paraId="6785C6D6">
      <w:pPr>
        <w:pStyle w:val="11"/>
        <w:tabs>
          <w:tab w:val="left" w:pos="1271"/>
        </w:tabs>
        <w:spacing w:line="560" w:lineRule="exact"/>
        <w:ind w:firstLine="632" w:firstLineChars="200"/>
        <w:outlineLvl w:val="0"/>
        <w:rPr>
          <w:rFonts w:hint="eastAsia" w:ascii="Times New Roman" w:hAnsi="Times New Roman" w:eastAsia="黑体" w:cs="Times New Roman"/>
          <w:bCs/>
          <w:sz w:val="32"/>
          <w:szCs w:val="32"/>
        </w:rPr>
      </w:pPr>
      <w:bookmarkStart w:id="0" w:name="bookmark24"/>
      <w:r>
        <w:rPr>
          <w:rFonts w:hint="eastAsia" w:ascii="Times New Roman" w:hAnsi="黑体" w:eastAsia="黑体" w:cs="Times New Roman"/>
          <w:bCs/>
          <w:sz w:val="32"/>
          <w:szCs w:val="32"/>
        </w:rPr>
        <w:t>三</w:t>
      </w:r>
      <w:bookmarkEnd w:id="0"/>
      <w:r>
        <w:rPr>
          <w:rFonts w:hint="eastAsia" w:ascii="Times New Roman" w:hAnsi="黑体" w:eastAsia="黑体" w:cs="Times New Roman"/>
          <w:bCs/>
          <w:sz w:val="32"/>
          <w:szCs w:val="32"/>
        </w:rPr>
        <w:t>、征收补偿安置方式</w:t>
      </w:r>
    </w:p>
    <w:p w14:paraId="4046937E">
      <w:pPr>
        <w:pStyle w:val="11"/>
        <w:spacing w:line="560"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征收</w:t>
      </w:r>
      <w:r>
        <w:rPr>
          <w:rFonts w:hint="eastAsia" w:ascii="Times New Roman" w:hAnsi="Times New Roman" w:eastAsia="仿宋_GB2312" w:cs="Times New Roman"/>
          <w:sz w:val="32"/>
          <w:szCs w:val="32"/>
        </w:rPr>
        <w:t>范围内</w:t>
      </w:r>
      <w:r>
        <w:rPr>
          <w:rFonts w:hint="eastAsia" w:ascii="Times New Roman" w:hAnsi="Times New Roman" w:eastAsia="仿宋_GB2312" w:cs="Times New Roman"/>
          <w:sz w:val="32"/>
          <w:szCs w:val="32"/>
          <w:lang w:val="en-US" w:eastAsia="zh-CN"/>
        </w:rPr>
        <w:t>被征收</w:t>
      </w:r>
      <w:r>
        <w:rPr>
          <w:rFonts w:hint="eastAsia" w:ascii="Times New Roman" w:hAnsi="Times New Roman" w:eastAsia="仿宋_GB2312" w:cs="Times New Roman"/>
          <w:sz w:val="32"/>
          <w:szCs w:val="32"/>
          <w:lang w:eastAsia="zh-CN"/>
        </w:rPr>
        <w:t>人</w:t>
      </w:r>
      <w:r>
        <w:rPr>
          <w:rFonts w:hint="eastAsia" w:ascii="Times New Roman" w:hAnsi="Times New Roman" w:eastAsia="仿宋_GB2312" w:cs="Times New Roman"/>
          <w:sz w:val="32"/>
          <w:szCs w:val="32"/>
        </w:rPr>
        <w:t>可以选择房屋产权调换</w:t>
      </w:r>
      <w:r>
        <w:rPr>
          <w:rFonts w:hint="eastAsia" w:ascii="Times New Roman" w:hAnsi="Times New Roman" w:eastAsia="仿宋_GB2312" w:cs="Times New Roman"/>
          <w:sz w:val="32"/>
          <w:szCs w:val="32"/>
          <w:lang w:val="en-US" w:eastAsia="zh-CN"/>
        </w:rPr>
        <w:t>或货币补偿</w:t>
      </w:r>
      <w:r>
        <w:rPr>
          <w:rFonts w:hint="eastAsia" w:ascii="Times New Roman" w:hAnsi="Times New Roman" w:eastAsia="仿宋_GB2312" w:cs="Times New Roman"/>
          <w:sz w:val="32"/>
          <w:szCs w:val="32"/>
        </w:rPr>
        <w:t>其中一种补偿安置方式。</w:t>
      </w:r>
    </w:p>
    <w:p w14:paraId="45978D79">
      <w:pPr>
        <w:pStyle w:val="11"/>
        <w:tabs>
          <w:tab w:val="left" w:pos="1271"/>
        </w:tabs>
        <w:spacing w:line="560" w:lineRule="exact"/>
        <w:ind w:firstLine="632" w:firstLineChars="200"/>
        <w:outlineLvl w:val="0"/>
        <w:rPr>
          <w:rFonts w:hint="eastAsia" w:ascii="Times New Roman" w:hAnsi="Times New Roman" w:eastAsia="黑体" w:cs="Times New Roman"/>
          <w:bCs/>
          <w:sz w:val="32"/>
          <w:szCs w:val="32"/>
        </w:rPr>
      </w:pPr>
      <w:bookmarkStart w:id="1" w:name="bookmark25"/>
      <w:r>
        <w:rPr>
          <w:rFonts w:hint="eastAsia" w:ascii="Times New Roman" w:hAnsi="黑体" w:eastAsia="黑体" w:cs="Times New Roman"/>
          <w:bCs/>
          <w:sz w:val="32"/>
          <w:szCs w:val="32"/>
        </w:rPr>
        <w:t>四</w:t>
      </w:r>
      <w:bookmarkEnd w:id="1"/>
      <w:r>
        <w:rPr>
          <w:rFonts w:hint="eastAsia" w:ascii="Times New Roman" w:hAnsi="黑体" w:eastAsia="黑体" w:cs="Times New Roman"/>
          <w:bCs/>
          <w:sz w:val="32"/>
          <w:szCs w:val="32"/>
        </w:rPr>
        <w:t>、</w:t>
      </w:r>
      <w:r>
        <w:rPr>
          <w:rFonts w:hint="eastAsia" w:ascii="Times New Roman" w:hAnsi="黑体" w:eastAsia="黑体" w:cs="Times New Roman"/>
          <w:bCs/>
          <w:sz w:val="32"/>
          <w:szCs w:val="32"/>
          <w:lang w:val="en-US" w:eastAsia="zh-CN"/>
        </w:rPr>
        <w:t>被征收房屋</w:t>
      </w:r>
      <w:r>
        <w:rPr>
          <w:rFonts w:hint="eastAsia" w:ascii="Times New Roman" w:hAnsi="黑体" w:eastAsia="黑体" w:cs="Times New Roman"/>
          <w:bCs/>
          <w:sz w:val="32"/>
          <w:szCs w:val="32"/>
        </w:rPr>
        <w:t>面积、用途</w:t>
      </w:r>
      <w:r>
        <w:rPr>
          <w:rFonts w:hint="eastAsia" w:ascii="Times New Roman" w:hAnsi="黑体" w:eastAsia="黑体" w:cs="Times New Roman"/>
          <w:bCs/>
          <w:sz w:val="32"/>
          <w:szCs w:val="32"/>
          <w:lang w:eastAsia="zh-CN"/>
        </w:rPr>
        <w:t>及</w:t>
      </w:r>
      <w:r>
        <w:rPr>
          <w:rFonts w:hint="eastAsia" w:ascii="Times New Roman" w:hAnsi="黑体" w:eastAsia="黑体" w:cs="Times New Roman"/>
          <w:bCs/>
          <w:sz w:val="32"/>
          <w:szCs w:val="32"/>
        </w:rPr>
        <w:t>其</w:t>
      </w:r>
      <w:r>
        <w:rPr>
          <w:rFonts w:hint="eastAsia" w:ascii="Times New Roman" w:hAnsi="黑体" w:eastAsia="黑体" w:cs="Times New Roman"/>
          <w:bCs/>
          <w:sz w:val="32"/>
          <w:szCs w:val="32"/>
          <w:lang w:eastAsia="zh-CN"/>
        </w:rPr>
        <w:t>它</w:t>
      </w:r>
      <w:r>
        <w:rPr>
          <w:rFonts w:hint="eastAsia" w:ascii="Times New Roman" w:hAnsi="黑体" w:eastAsia="黑体" w:cs="Times New Roman"/>
          <w:bCs/>
          <w:sz w:val="32"/>
          <w:szCs w:val="32"/>
        </w:rPr>
        <w:t>认定标准</w:t>
      </w:r>
    </w:p>
    <w:p w14:paraId="2C4E2A02">
      <w:pPr>
        <w:pStyle w:val="11"/>
        <w:spacing w:line="560" w:lineRule="exact"/>
        <w:ind w:firstLine="632"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本方案所述的</w:t>
      </w:r>
      <w:r>
        <w:rPr>
          <w:rFonts w:hint="eastAsia" w:ascii="Times New Roman" w:hAnsi="Times New Roman" w:eastAsia="仿宋_GB2312" w:cs="Times New Roman"/>
          <w:sz w:val="32"/>
          <w:szCs w:val="32"/>
          <w:lang w:val="en-US" w:eastAsia="zh-CN"/>
        </w:rPr>
        <w:t>被征收房屋，是指征收范围内具有合法产权或符合相关政策规定应当给予补偿的房屋、余地以及附属设施。</w:t>
      </w:r>
    </w:p>
    <w:p w14:paraId="4BFAF509">
      <w:pPr>
        <w:pStyle w:val="11"/>
        <w:spacing w:line="560"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方案所述的已经产权登记的被征收房屋的建筑面积与房屋用途的认定，以不动产登记部门颁发的不动产权证标注的面积和用途为准；不动产权证未标注的或者标注的与不动产登记簿不一致的，以不动产登记簿标注的面积和用途为准。</w:t>
      </w:r>
    </w:p>
    <w:p w14:paraId="0435311B">
      <w:pPr>
        <w:pStyle w:val="11"/>
        <w:tabs>
          <w:tab w:val="left" w:pos="1271"/>
        </w:tabs>
        <w:spacing w:line="560" w:lineRule="exact"/>
        <w:ind w:firstLine="632" w:firstLineChars="200"/>
        <w:outlineLvl w:val="0"/>
        <w:rPr>
          <w:rFonts w:hint="eastAsia" w:ascii="Times New Roman" w:hAnsi="Times New Roman" w:eastAsia="黑体" w:cs="Times New Roman"/>
          <w:b/>
          <w:bCs/>
          <w:sz w:val="32"/>
          <w:szCs w:val="32"/>
          <w:lang w:val="en-US" w:eastAsia="zh-CN"/>
        </w:rPr>
      </w:pPr>
      <w:r>
        <w:rPr>
          <w:rFonts w:hint="eastAsia" w:ascii="Times New Roman" w:hAnsi="黑体" w:eastAsia="黑体" w:cs="Times New Roman"/>
          <w:bCs/>
          <w:sz w:val="32"/>
          <w:szCs w:val="32"/>
        </w:rPr>
        <w:t>五、房屋征收</w:t>
      </w:r>
      <w:r>
        <w:rPr>
          <w:rFonts w:hint="eastAsia" w:ascii="Times New Roman" w:hAnsi="黑体" w:eastAsia="黑体" w:cs="Times New Roman"/>
          <w:bCs/>
          <w:sz w:val="32"/>
          <w:szCs w:val="32"/>
          <w:lang w:val="en-US" w:eastAsia="zh-CN"/>
        </w:rPr>
        <w:t>货币补偿</w:t>
      </w:r>
    </w:p>
    <w:p w14:paraId="3C4CA59E">
      <w:pPr>
        <w:pStyle w:val="11"/>
        <w:spacing w:line="560" w:lineRule="exact"/>
        <w:ind w:firstLine="632"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被征收房屋价值的补偿按市场评估价进行货币补偿，市场评估价由具有相应资质的房地产价格评估机构评估确定，房屋市场价值评估时点为房屋征收决定公告之日。房屋征收决定公告后</w:t>
      </w:r>
      <w:r>
        <w:rPr>
          <w:rFonts w:hint="eastAsia" w:ascii="Times New Roman" w:hAnsi="Times New Roman" w:eastAsia="仿宋_GB2312" w:cs="Times New Roman"/>
          <w:snapToGrid/>
          <w:sz w:val="32"/>
          <w:szCs w:val="32"/>
          <w:lang w:eastAsia="zh-CN"/>
        </w:rPr>
        <w:t>30个工作日内，被征收人应在公布的全市国有土地上房屋征收评</w:t>
      </w:r>
      <w:r>
        <w:rPr>
          <w:rFonts w:hint="eastAsia" w:ascii="Times New Roman" w:hAnsi="Times New Roman" w:eastAsia="仿宋_GB2312" w:cs="Times New Roman"/>
          <w:sz w:val="32"/>
          <w:szCs w:val="32"/>
          <w:lang w:eastAsia="zh-CN"/>
        </w:rPr>
        <w:t>估机构名录中协商选定房地产价格评估机构；半数以上被征收人共同选定一家房地产价格评估机构，且该房地产价格评估机构于2日内未提出异议的，视为协商选定有效。如协商选定不成或评估机构不接受委托的，将通过摇珠的方式随机确定。</w:t>
      </w:r>
    </w:p>
    <w:p w14:paraId="79512E04">
      <w:pPr>
        <w:pStyle w:val="11"/>
        <w:tabs>
          <w:tab w:val="left" w:pos="1271"/>
        </w:tabs>
        <w:spacing w:line="560" w:lineRule="exact"/>
        <w:ind w:firstLine="632" w:firstLineChars="200"/>
        <w:outlineLvl w:val="0"/>
        <w:rPr>
          <w:rFonts w:hint="eastAsia" w:ascii="Times New Roman" w:hAnsi="Times New Roman" w:eastAsia="黑体" w:cs="Times New Roman"/>
          <w:bCs/>
          <w:sz w:val="32"/>
          <w:szCs w:val="32"/>
          <w:lang w:val="en-US" w:eastAsia="zh-CN"/>
        </w:rPr>
      </w:pPr>
      <w:r>
        <w:rPr>
          <w:rFonts w:hint="eastAsia" w:ascii="Times New Roman" w:hAnsi="黑体" w:eastAsia="黑体" w:cs="Times New Roman"/>
          <w:bCs/>
          <w:sz w:val="32"/>
          <w:szCs w:val="32"/>
          <w:lang w:val="en-US" w:eastAsia="zh-CN"/>
        </w:rPr>
        <w:t>六、房屋征收产权调换</w:t>
      </w:r>
    </w:p>
    <w:p w14:paraId="78F0CBD7">
      <w:pPr>
        <w:pStyle w:val="11"/>
        <w:spacing w:line="560" w:lineRule="exact"/>
        <w:ind w:firstLine="632"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被征收人选择房屋产权调换的，可以选择不同用途房屋进行产权调换，按照被征收房屋的市场评估价及本方案第八条搬迁时限奖励之和与产权调换房屋的市场评估价，结清差价。市场评估价由具有相应资质的房地产价格评估机构评估确定，房屋市场价值评估时点为房屋征收决定公告之日。</w:t>
      </w:r>
    </w:p>
    <w:p w14:paraId="7D38AD50">
      <w:pPr>
        <w:pStyle w:val="11"/>
        <w:spacing w:line="560" w:lineRule="exact"/>
        <w:ind w:firstLine="632"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超出应安置部分产生的相关费用和税费，按有关规定缴纳。</w:t>
      </w:r>
    </w:p>
    <w:p w14:paraId="1F8E0CB0">
      <w:pPr>
        <w:pStyle w:val="11"/>
        <w:spacing w:line="560" w:lineRule="exact"/>
        <w:ind w:firstLine="632" w:firstLineChars="200"/>
        <w:outlineLvl w:val="0"/>
        <w:rPr>
          <w:rFonts w:hint="eastAsia" w:ascii="Times New Roman" w:hAnsi="Times New Roman" w:eastAsia="黑体" w:cs="Times New Roman"/>
          <w:bCs/>
          <w:sz w:val="32"/>
          <w:szCs w:val="32"/>
          <w:lang w:val="en-US" w:eastAsia="zh-CN"/>
        </w:rPr>
      </w:pPr>
      <w:r>
        <w:rPr>
          <w:rFonts w:hint="eastAsia" w:ascii="Times New Roman" w:hAnsi="黑体" w:eastAsia="黑体" w:cs="Times New Roman"/>
          <w:bCs/>
          <w:sz w:val="32"/>
          <w:szCs w:val="32"/>
          <w:lang w:val="en-US" w:eastAsia="zh-CN"/>
        </w:rPr>
        <w:t>七、房屋产权调换临时安置补助费</w:t>
      </w:r>
    </w:p>
    <w:p w14:paraId="371EEEEF">
      <w:pPr>
        <w:pStyle w:val="12"/>
        <w:spacing w:line="560" w:lineRule="exact"/>
        <w:ind w:firstLine="632" w:firstLineChars="200"/>
        <w:rPr>
          <w:rFonts w:hint="eastAsia"/>
          <w:bCs/>
          <w:szCs w:val="32"/>
        </w:rPr>
      </w:pPr>
      <w:r>
        <w:rPr>
          <w:rFonts w:hint="eastAsia"/>
          <w:szCs w:val="32"/>
        </w:rPr>
        <w:t>被征收人选择房屋产权调换的，给予临时安置补助费。临时安置补助费由具有相应资质的房地产价格评估机构评估确定，计算时间从被征收人腾空并移交房屋之月起计至安置房交付之月止。</w:t>
      </w:r>
    </w:p>
    <w:p w14:paraId="521A8CCF">
      <w:pPr>
        <w:pStyle w:val="11"/>
        <w:spacing w:line="560" w:lineRule="exact"/>
        <w:ind w:firstLine="632" w:firstLineChars="200"/>
        <w:outlineLvl w:val="0"/>
        <w:rPr>
          <w:rFonts w:hint="eastAsia" w:ascii="Times New Roman" w:hAnsi="Times New Roman" w:eastAsia="黑体" w:cs="Times New Roman"/>
          <w:bCs/>
          <w:sz w:val="32"/>
          <w:szCs w:val="32"/>
          <w:lang w:val="en-US" w:eastAsia="zh-CN"/>
        </w:rPr>
      </w:pPr>
      <w:r>
        <w:rPr>
          <w:rFonts w:hint="eastAsia" w:ascii="Times New Roman" w:hAnsi="黑体" w:eastAsia="黑体" w:cs="Times New Roman"/>
          <w:bCs/>
          <w:sz w:val="32"/>
          <w:szCs w:val="32"/>
          <w:lang w:val="en-US" w:eastAsia="zh-CN"/>
        </w:rPr>
        <w:t>八、搬迁时限奖励</w:t>
      </w:r>
    </w:p>
    <w:p w14:paraId="405EAA9A">
      <w:pPr>
        <w:pStyle w:val="12"/>
        <w:spacing w:line="560" w:lineRule="exact"/>
        <w:ind w:firstLine="632" w:firstLineChars="200"/>
        <w:rPr>
          <w:rFonts w:hint="eastAsia"/>
          <w:szCs w:val="32"/>
        </w:rPr>
      </w:pPr>
      <w:r>
        <w:rPr>
          <w:rFonts w:hint="eastAsia"/>
          <w:szCs w:val="32"/>
        </w:rPr>
        <w:t>被征收人在发出房屋征收决定公告之日起60个自然日内签订补偿协议，并在协议规定的时间内移交房屋的，按照被征收房屋市场评估价的10%给予搬迁时限奖励。被征收人在发出房屋征</w:t>
      </w:r>
      <w:r>
        <w:rPr>
          <w:rFonts w:hint="eastAsia"/>
          <w:snapToGrid/>
          <w:szCs w:val="32"/>
        </w:rPr>
        <w:t>收决定公告之日起60个自然日之后签订补偿协议的，不再给予搬</w:t>
      </w:r>
      <w:r>
        <w:rPr>
          <w:rFonts w:hint="eastAsia"/>
          <w:szCs w:val="32"/>
        </w:rPr>
        <w:t>迁时限奖励。</w:t>
      </w:r>
    </w:p>
    <w:p w14:paraId="49C86F0A">
      <w:pPr>
        <w:pStyle w:val="11"/>
        <w:spacing w:line="560" w:lineRule="exact"/>
        <w:ind w:firstLine="632" w:firstLineChars="200"/>
        <w:outlineLvl w:val="0"/>
        <w:rPr>
          <w:rFonts w:hint="eastAsia" w:ascii="Times New Roman" w:hAnsi="Times New Roman" w:eastAsia="黑体" w:cs="Times New Roman"/>
          <w:sz w:val="32"/>
          <w:szCs w:val="32"/>
          <w:lang w:eastAsia="zh-CN"/>
        </w:rPr>
      </w:pPr>
      <w:r>
        <w:rPr>
          <w:rFonts w:hint="eastAsia" w:ascii="Times New Roman" w:hAnsi="黑体" w:eastAsia="黑体" w:cs="Times New Roman"/>
          <w:bCs/>
          <w:sz w:val="32"/>
          <w:szCs w:val="32"/>
          <w:lang w:val="en-US" w:eastAsia="zh-CN"/>
        </w:rPr>
        <w:t>九、</w:t>
      </w:r>
      <w:r>
        <w:rPr>
          <w:rFonts w:hint="eastAsia" w:ascii="Times New Roman" w:hAnsi="黑体" w:eastAsia="黑体" w:cs="Times New Roman"/>
          <w:bCs/>
          <w:sz w:val="32"/>
          <w:szCs w:val="32"/>
          <w:lang w:eastAsia="zh-CN"/>
        </w:rPr>
        <w:t>其它</w:t>
      </w:r>
      <w:r>
        <w:rPr>
          <w:rFonts w:hint="eastAsia" w:ascii="Times New Roman" w:hAnsi="黑体" w:eastAsia="黑体" w:cs="Times New Roman"/>
          <w:bCs/>
          <w:sz w:val="32"/>
          <w:szCs w:val="32"/>
        </w:rPr>
        <w:t>补偿标准</w:t>
      </w:r>
    </w:p>
    <w:p w14:paraId="0CAC66BB">
      <w:pPr>
        <w:pStyle w:val="11"/>
        <w:tabs>
          <w:tab w:val="left" w:pos="1621"/>
        </w:tabs>
        <w:spacing w:line="560" w:lineRule="exact"/>
        <w:ind w:firstLine="632" w:firstLineChars="200"/>
        <w:rPr>
          <w:rFonts w:hint="eastAsia" w:ascii="Times New Roman" w:hAnsi="Times New Roman" w:eastAsia="楷体_GB2312" w:cs="Times New Roman"/>
          <w:bCs/>
          <w:sz w:val="32"/>
          <w:szCs w:val="32"/>
        </w:rPr>
      </w:pPr>
      <w:r>
        <w:rPr>
          <w:rFonts w:hint="eastAsia" w:ascii="Times New Roman" w:hAnsi="Times New Roman" w:eastAsia="楷体_GB2312" w:cs="Times New Roman"/>
          <w:bCs/>
          <w:sz w:val="32"/>
          <w:szCs w:val="32"/>
        </w:rPr>
        <w:t>（一）</w:t>
      </w:r>
      <w:r>
        <w:rPr>
          <w:rFonts w:hint="eastAsia" w:ascii="Times New Roman" w:hAnsi="Times New Roman" w:eastAsia="楷体_GB2312" w:cs="Times New Roman"/>
          <w:bCs/>
          <w:sz w:val="32"/>
          <w:szCs w:val="32"/>
          <w:lang w:val="en-US" w:eastAsia="zh-CN"/>
        </w:rPr>
        <w:t>房屋搬迁费</w:t>
      </w:r>
      <w:r>
        <w:rPr>
          <w:rFonts w:hint="eastAsia" w:ascii="Times New Roman" w:hAnsi="Times New Roman" w:eastAsia="楷体_GB2312" w:cs="Times New Roman"/>
          <w:bCs/>
          <w:sz w:val="32"/>
          <w:szCs w:val="32"/>
        </w:rPr>
        <w:t>。</w:t>
      </w:r>
    </w:p>
    <w:p w14:paraId="6DA528F5">
      <w:pPr>
        <w:pStyle w:val="11"/>
        <w:spacing w:line="560" w:lineRule="exact"/>
        <w:ind w:firstLine="632"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房屋搬迁费：由具有相应资质的房地产价格评估机构评估确定。</w:t>
      </w:r>
    </w:p>
    <w:p w14:paraId="40236B9D">
      <w:pPr>
        <w:pStyle w:val="11"/>
        <w:tabs>
          <w:tab w:val="left" w:pos="1621"/>
        </w:tabs>
        <w:spacing w:line="560" w:lineRule="exact"/>
        <w:ind w:firstLine="632" w:firstLineChars="200"/>
        <w:rPr>
          <w:rFonts w:hint="eastAsia" w:ascii="Times New Roman" w:hAnsi="Times New Roman" w:eastAsia="楷体_GB2312" w:cs="Times New Roman"/>
          <w:bCs/>
          <w:sz w:val="32"/>
          <w:szCs w:val="32"/>
          <w:lang w:val="en-US" w:eastAsia="zh-CN"/>
        </w:rPr>
      </w:pPr>
      <w:r>
        <w:rPr>
          <w:rFonts w:hint="eastAsia" w:ascii="Times New Roman" w:hAnsi="Times New Roman" w:eastAsia="楷体_GB2312" w:cs="Times New Roman"/>
          <w:bCs/>
          <w:sz w:val="32"/>
          <w:szCs w:val="32"/>
          <w:lang w:val="en-US" w:eastAsia="zh-CN"/>
        </w:rPr>
        <w:t>（二）其它相关补偿费用。</w:t>
      </w:r>
    </w:p>
    <w:p w14:paraId="642BAFD9">
      <w:pPr>
        <w:pStyle w:val="9"/>
        <w:spacing w:line="560" w:lineRule="exact"/>
        <w:ind w:firstLine="632" w:firstLineChars="200"/>
        <w:rPr>
          <w:rFonts w:hint="eastAsia" w:eastAsia="仿宋_GB2312"/>
          <w:snapToGrid w:val="0"/>
          <w:sz w:val="32"/>
          <w:szCs w:val="32"/>
        </w:rPr>
      </w:pPr>
      <w:r>
        <w:rPr>
          <w:rFonts w:hint="eastAsia" w:eastAsia="仿宋_GB2312"/>
          <w:snapToGrid w:val="0"/>
          <w:sz w:val="32"/>
          <w:szCs w:val="32"/>
        </w:rPr>
        <w:t>涉及特殊设备搬迁、安装、调试费用：由具有相应资质的房地产价格评估机构评估确定。</w:t>
      </w:r>
    </w:p>
    <w:p w14:paraId="129ABAC5">
      <w:pPr>
        <w:pStyle w:val="9"/>
        <w:spacing w:line="500" w:lineRule="exact"/>
        <w:jc w:val="center"/>
        <w:rPr>
          <w:rFonts w:hint="eastAsia" w:eastAsia="仿宋_GB2312"/>
          <w:snapToGrid w:val="0"/>
          <w:sz w:val="32"/>
          <w:szCs w:val="32"/>
        </w:rPr>
      </w:pPr>
    </w:p>
    <w:p w14:paraId="6DDC080F">
      <w:pPr>
        <w:pStyle w:val="9"/>
        <w:spacing w:line="500" w:lineRule="exact"/>
        <w:jc w:val="center"/>
        <w:rPr>
          <w:rFonts w:hint="eastAsia" w:eastAsia="仿宋_GB2312"/>
          <w:snapToGrid w:val="0"/>
          <w:sz w:val="32"/>
          <w:szCs w:val="32"/>
        </w:rPr>
      </w:pPr>
    </w:p>
    <w:p w14:paraId="4AB04240">
      <w:pPr>
        <w:ind w:firstLine="4604" w:firstLineChars="1457"/>
        <w:rPr>
          <w:rFonts w:hint="eastAsia"/>
        </w:rPr>
      </w:pPr>
      <w:r>
        <w:rPr>
          <w:rFonts w:hint="eastAsia"/>
        </w:rPr>
        <w:t>广州市越秀区人民政府</w:t>
      </w:r>
    </w:p>
    <w:p w14:paraId="7191CF06">
      <w:pPr>
        <w:pStyle w:val="9"/>
        <w:spacing w:line="312" w:lineRule="auto"/>
        <w:ind w:firstLine="5025" w:firstLineChars="1590"/>
        <w:rPr>
          <w:rFonts w:hint="eastAsia" w:eastAsia="仿宋_GB2312"/>
          <w:snapToGrid w:val="0"/>
          <w:sz w:val="32"/>
          <w:szCs w:val="32"/>
        </w:rPr>
      </w:pPr>
      <w:r>
        <w:rPr>
          <w:rFonts w:hint="eastAsia" w:eastAsia="仿宋_GB2312"/>
          <w:snapToGrid w:val="0"/>
          <w:sz w:val="32"/>
          <w:szCs w:val="32"/>
        </w:rPr>
        <w:t>2025年1月27日</w:t>
      </w:r>
    </w:p>
    <w:p w14:paraId="12273F91">
      <w:pPr>
        <w:pStyle w:val="9"/>
        <w:spacing w:line="312" w:lineRule="auto"/>
        <w:ind w:firstLine="5056" w:firstLineChars="1600"/>
        <w:rPr>
          <w:rFonts w:hint="eastAsia" w:eastAsia="仿宋_GB2312"/>
          <w:snapToGrid w:val="0"/>
          <w:sz w:val="32"/>
          <w:szCs w:val="32"/>
        </w:rPr>
      </w:pPr>
    </w:p>
    <w:p w14:paraId="090DE7DF">
      <w:bookmarkStart w:id="2" w:name="_GoBack"/>
      <w:bookmarkEnd w:id="2"/>
    </w:p>
    <w:sectPr>
      <w:headerReference r:id="rId3" w:type="default"/>
      <w:footerReference r:id="rId5" w:type="default"/>
      <w:headerReference r:id="rId4" w:type="even"/>
      <w:footerReference r:id="rId6" w:type="even"/>
      <w:pgSz w:w="11906" w:h="16838"/>
      <w:pgMar w:top="2098" w:right="1474" w:bottom="1701" w:left="1588" w:header="851" w:footer="1361"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康简标题宋">
    <w:panose1 w:val="02010609000101010101"/>
    <w:charset w:val="86"/>
    <w:family w:val="moder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4C20E">
    <w:pPr>
      <w:pStyle w:val="4"/>
      <w:framePr w:w="1216" w:wrap="around" w:vAnchor="text" w:hAnchor="page" w:x="9166" w:y="1"/>
      <w:ind w:firstLine="56" w:firstLineChars="20"/>
      <w:rPr>
        <w:rStyle w:val="8"/>
        <w:sz w:val="28"/>
        <w:szCs w:val="28"/>
      </w:rPr>
    </w:pPr>
    <w:r>
      <w:rPr>
        <w:rStyle w:val="8"/>
        <w:rFonts w:eastAsia="宋体"/>
        <w:sz w:val="28"/>
        <w:szCs w:val="28"/>
      </w:rPr>
      <w:t>―</w:t>
    </w:r>
    <w:r>
      <w:rPr>
        <w:rStyle w:val="8"/>
        <w:rFonts w:hint="eastAsia" w:eastAsia="宋体"/>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5</w:t>
    </w:r>
    <w:r>
      <w:rPr>
        <w:sz w:val="28"/>
        <w:szCs w:val="28"/>
      </w:rPr>
      <w:fldChar w:fldCharType="end"/>
    </w:r>
    <w:r>
      <w:rPr>
        <w:rStyle w:val="8"/>
        <w:rFonts w:hint="eastAsia"/>
        <w:sz w:val="28"/>
        <w:szCs w:val="28"/>
      </w:rPr>
      <w:t xml:space="preserve"> </w:t>
    </w:r>
    <w:r>
      <w:rPr>
        <w:rStyle w:val="8"/>
        <w:rFonts w:eastAsia="宋体"/>
        <w:sz w:val="28"/>
        <w:szCs w:val="28"/>
      </w:rPr>
      <w:t>―</w:t>
    </w:r>
  </w:p>
  <w:p w14:paraId="140177A9">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7011">
    <w:pPr>
      <w:pStyle w:val="4"/>
      <w:framePr w:wrap="around" w:vAnchor="text" w:hAnchor="margin" w:xAlign="outside" w:y="1"/>
      <w:ind w:firstLine="280" w:firstLineChars="100"/>
      <w:rPr>
        <w:rStyle w:val="8"/>
        <w:sz w:val="28"/>
        <w:szCs w:val="28"/>
      </w:rPr>
    </w:pPr>
    <w:r>
      <w:rPr>
        <w:rStyle w:val="8"/>
        <w:rFonts w:eastAsia="宋体"/>
        <w:sz w:val="28"/>
        <w:szCs w:val="28"/>
      </w:rPr>
      <w:t>―</w:t>
    </w:r>
    <w:r>
      <w:rPr>
        <w:rStyle w:val="8"/>
        <w:rFonts w:hint="eastAsia" w:eastAsia="宋体"/>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4</w:t>
    </w:r>
    <w:r>
      <w:rPr>
        <w:sz w:val="28"/>
        <w:szCs w:val="28"/>
      </w:rPr>
      <w:fldChar w:fldCharType="end"/>
    </w:r>
    <w:r>
      <w:rPr>
        <w:rStyle w:val="8"/>
        <w:rFonts w:hint="eastAsia"/>
        <w:sz w:val="28"/>
        <w:szCs w:val="28"/>
      </w:rPr>
      <w:t xml:space="preserve"> </w:t>
    </w:r>
    <w:r>
      <w:rPr>
        <w:rStyle w:val="8"/>
        <w:rFonts w:eastAsia="宋体"/>
        <w:sz w:val="28"/>
        <w:szCs w:val="28"/>
      </w:rPr>
      <w:t>―</w:t>
    </w:r>
  </w:p>
  <w:p w14:paraId="5BA9D960">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77C5B">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6632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E4171"/>
    <w:rsid w:val="480E4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napToGrid w:val="0"/>
      <w:kern w:val="2"/>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pPr>
    <w:rPr>
      <w:rFonts w:ascii="Calibri" w:hAnsi="Calibri" w:eastAsia="宋体" w:cs="黑体"/>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Body text|1"/>
    <w:basedOn w:val="1"/>
    <w:qFormat/>
    <w:uiPriority w:val="0"/>
    <w:pPr>
      <w:spacing w:line="432" w:lineRule="auto"/>
      <w:ind w:firstLine="400"/>
    </w:pPr>
    <w:rPr>
      <w:rFonts w:ascii="宋体" w:hAnsi="宋体" w:eastAsia="宋体" w:cs="宋体"/>
      <w:sz w:val="28"/>
      <w:szCs w:val="28"/>
      <w:lang w:val="zh-TW" w:eastAsia="zh-TW" w:bidi="zh-TW"/>
    </w:rPr>
  </w:style>
  <w:style w:type="paragraph" w:customStyle="1" w:styleId="12">
    <w:name w:val="Normal"/>
    <w:qFormat/>
    <w:uiPriority w:val="0"/>
    <w:pPr>
      <w:widowControl w:val="0"/>
      <w:jc w:val="both"/>
    </w:pPr>
    <w:rPr>
      <w:rFonts w:hint="default" w:ascii="Times New Roman" w:hAnsi="Times New Roman" w:eastAsia="仿宋_GB2312" w:cs="Times New Roman"/>
      <w:snapToGrid w:val="0"/>
      <w:kern w:val="2"/>
      <w:sz w:val="32"/>
      <w:lang w:val="en-US" w:eastAsia="zh-CN"/>
    </w:rPr>
  </w:style>
  <w:style w:type="paragraph" w:customStyle="1" w:styleId="13">
    <w:name w:val="Char1"/>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2025-01-27T02:15:00Z</dcterms:created>
  <dc:creator>盼盼</dc:creator>
  <cp:lastModifiedBy>盼盼</cp:lastModifiedBy>
  <dcterms:modified xsi:type="dcterms:W3CDTF">2025-01-27T02:16:43Z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A93F03A91A44498AAC01DC5136053F5D_11</vt:lpwstr>
  </property>
  <property fmtid="{D5CDD505-2E9C-101B-9397-08002B2CF9AE}" pid="4" name="KSOTemplateDocerSaveRecord">
    <vt:lpwstr>eyJoZGlkIjoiZmFkMDIwYjhjNjU0OThkMGYzYmQxYjk2ZjZlZWVjNjciLCJ1c2VySWQiOiI0OTQ0MDI5NDAifQ==</vt:lpwstr>
  </property>
</Properties>
</file>