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bookmarkStart w:id="0" w:name="_GoBack"/>
      <w:r>
        <w:rPr>
          <w:rFonts w:hint="eastAsia" w:ascii="方正小标宋简体" w:hAnsi="方正小标宋简体" w:eastAsia="方正小标宋简体" w:cs="方正小标宋简体"/>
          <w:sz w:val="40"/>
          <w:szCs w:val="40"/>
          <w:lang w:val="en-US" w:eastAsia="zh-CN"/>
        </w:rPr>
        <w:t>困境儿童分级分色风险等级评估服务项目需求表</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一、需求总览</w:t>
      </w:r>
    </w:p>
    <w:tbl>
      <w:tblPr>
        <w:tblStyle w:val="5"/>
        <w:tblW w:w="9585"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5100"/>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黑体" w:hAnsi="黑体" w:eastAsia="黑体" w:cs="黑体"/>
                <w:sz w:val="32"/>
                <w:szCs w:val="32"/>
                <w:vertAlign w:val="baseline"/>
                <w:lang w:val="en-US" w:eastAsia="zh-CN"/>
              </w:rPr>
              <w:t>最高限价</w:t>
            </w:r>
            <w:r>
              <w:rPr>
                <w:rFonts w:hint="eastAsia" w:ascii="仿宋_GB2312" w:hAnsi="仿宋_GB2312" w:eastAsia="仿宋_GB2312" w:cs="仿宋_GB2312"/>
                <w:sz w:val="32"/>
                <w:szCs w:val="32"/>
                <w:vertAlign w:val="baseline"/>
                <w:lang w:val="en-US" w:eastAsia="zh-CN"/>
              </w:rPr>
              <w:t>（人民币）</w:t>
            </w:r>
            <w:r>
              <w:rPr>
                <w:rFonts w:hint="default" w:ascii="Times New Roman" w:hAnsi="Times New Roman" w:eastAsia="仿宋_GB2312" w:cs="Times New Roman"/>
                <w:sz w:val="32"/>
                <w:szCs w:val="32"/>
                <w:vertAlign w:val="baseline"/>
                <w:lang w:val="en-US" w:eastAsia="zh-CN"/>
              </w:rPr>
              <w:t>40</w:t>
            </w:r>
            <w:r>
              <w:rPr>
                <w:rFonts w:hint="eastAsia" w:ascii="仿宋_GB2312" w:hAnsi="仿宋_GB2312" w:eastAsia="仿宋_GB2312" w:cs="仿宋_GB2312"/>
                <w:sz w:val="32"/>
                <w:szCs w:val="32"/>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val="en-US" w:eastAsia="zh-CN"/>
              </w:rPr>
            </w:pPr>
            <w:r>
              <w:rPr>
                <w:rFonts w:hint="eastAsia" w:ascii="黑体" w:hAnsi="黑体" w:eastAsia="黑体" w:cs="黑体"/>
                <w:sz w:val="32"/>
                <w:szCs w:val="32"/>
                <w:vertAlign w:val="baseline"/>
                <w:lang w:val="en-US" w:eastAsia="zh-CN"/>
              </w:rPr>
              <w:t>服务对象：</w:t>
            </w:r>
            <w:r>
              <w:rPr>
                <w:rFonts w:hint="eastAsia" w:ascii="仿宋_GB2312" w:hAnsi="仿宋_GB2312" w:eastAsia="仿宋_GB2312" w:cs="仿宋_GB2312"/>
                <w:sz w:val="32"/>
                <w:szCs w:val="32"/>
                <w:vertAlign w:val="baseline"/>
                <w:lang w:val="en-US" w:eastAsia="zh-CN"/>
              </w:rPr>
              <w:t>越秀区在册困境儿童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黑体" w:hAnsi="黑体" w:eastAsia="黑体" w:cs="黑体"/>
                <w:sz w:val="32"/>
                <w:szCs w:val="32"/>
                <w:vertAlign w:val="baseline"/>
                <w:lang w:val="en-US" w:eastAsia="zh-CN"/>
              </w:rPr>
              <w:t>服务需求及指标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510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内容</w:t>
            </w:r>
          </w:p>
        </w:tc>
        <w:tc>
          <w:tcPr>
            <w:tcW w:w="352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w:t>
            </w:r>
          </w:p>
        </w:tc>
        <w:tc>
          <w:tcPr>
            <w:tcW w:w="5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3" w:firstLineChars="200"/>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风险等级评估：</w:t>
            </w:r>
            <w:r>
              <w:rPr>
                <w:rFonts w:hint="eastAsia" w:ascii="仿宋_GB2312" w:hAnsi="仿宋_GB2312" w:eastAsia="仿宋_GB2312" w:cs="仿宋_GB2312"/>
                <w:sz w:val="32"/>
                <w:szCs w:val="32"/>
                <w:vertAlign w:val="baseline"/>
                <w:lang w:val="en-US" w:eastAsia="zh-CN"/>
              </w:rPr>
              <w:t>对照《广东省农村留守儿童和困境儿童关爱服务质量提升三年行动实施方案》等文件，对越秀区在册困境儿童开展分级分色风险等级评估，其中对居住在市内的困境儿童开展</w:t>
            </w:r>
            <w:r>
              <w:rPr>
                <w:rFonts w:hint="default" w:ascii="Times New Roman" w:hAnsi="Times New Roman" w:eastAsia="仿宋_GB2312" w:cs="Times New Roman"/>
                <w:sz w:val="32"/>
                <w:szCs w:val="32"/>
                <w:vertAlign w:val="baseline"/>
                <w:lang w:val="en-US" w:eastAsia="zh-CN"/>
              </w:rPr>
              <w:t>1</w:t>
            </w:r>
            <w:r>
              <w:rPr>
                <w:rFonts w:hint="eastAsia" w:ascii="仿宋_GB2312" w:hAnsi="仿宋_GB2312" w:eastAsia="仿宋_GB2312" w:cs="仿宋_GB2312"/>
                <w:sz w:val="32"/>
                <w:szCs w:val="32"/>
                <w:vertAlign w:val="baseline"/>
                <w:lang w:val="en-US" w:eastAsia="zh-CN"/>
              </w:rPr>
              <w:t>次入户评估，对居住在市外的困境儿童开展</w:t>
            </w:r>
            <w:r>
              <w:rPr>
                <w:rFonts w:hint="eastAsia" w:ascii="Times New Roman" w:hAnsi="Times New Roman" w:eastAsia="仿宋_GB2312" w:cs="Times New Roman"/>
                <w:sz w:val="32"/>
                <w:szCs w:val="32"/>
                <w:vertAlign w:val="baseline"/>
                <w:lang w:val="en-US" w:eastAsia="zh-CN"/>
              </w:rPr>
              <w:t>1</w:t>
            </w:r>
            <w:r>
              <w:rPr>
                <w:rFonts w:hint="eastAsia" w:ascii="仿宋_GB2312" w:hAnsi="仿宋_GB2312" w:eastAsia="仿宋_GB2312" w:cs="仿宋_GB2312"/>
                <w:sz w:val="32"/>
                <w:szCs w:val="32"/>
                <w:vertAlign w:val="baseline"/>
                <w:lang w:val="en-US" w:eastAsia="zh-CN"/>
              </w:rPr>
              <w:t>次线上综合评估。</w:t>
            </w:r>
          </w:p>
        </w:tc>
        <w:tc>
          <w:tcPr>
            <w:tcW w:w="3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w:t>
            </w:r>
            <w:r>
              <w:rPr>
                <w:rFonts w:hint="eastAsia" w:ascii="仿宋_GB2312" w:hAnsi="仿宋_GB2312" w:eastAsia="仿宋_GB2312" w:cs="仿宋_GB2312"/>
                <w:sz w:val="32"/>
                <w:szCs w:val="32"/>
                <w:vertAlign w:val="baseline"/>
                <w:lang w:val="en-US" w:eastAsia="zh-CN"/>
              </w:rPr>
              <w:t>.接受风险登记评估的困境儿童</w:t>
            </w:r>
            <w:r>
              <w:rPr>
                <w:rFonts w:hint="eastAsia" w:ascii="Times New Roman" w:hAnsi="Times New Roman" w:eastAsia="仿宋_GB2312" w:cs="Times New Roman"/>
                <w:sz w:val="32"/>
                <w:szCs w:val="32"/>
                <w:vertAlign w:val="baseline"/>
                <w:lang w:val="en-US" w:eastAsia="zh-CN"/>
              </w:rPr>
              <w:t>≥1000</w:t>
            </w:r>
            <w:r>
              <w:rPr>
                <w:rFonts w:hint="eastAsia" w:ascii="仿宋_GB2312" w:hAnsi="仿宋_GB2312" w:eastAsia="仿宋_GB2312" w:cs="仿宋_GB2312"/>
                <w:sz w:val="32"/>
                <w:szCs w:val="32"/>
                <w:vertAlign w:val="baseline"/>
                <w:lang w:val="en-US" w:eastAsia="zh-CN"/>
              </w:rPr>
              <w:t>人（以实际提供名单为准，如年内有新增困境儿童也需开展评估）；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jc w:val="both"/>
              <w:textAlignment w:val="auto"/>
              <w:rPr>
                <w:rFonts w:hint="default" w:ascii="仿宋_GB2312" w:hAnsi="仿宋_GB2312" w:eastAsia="仿宋_GB2312" w:cs="仿宋_GB2312"/>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w:t>
            </w:r>
            <w:r>
              <w:rPr>
                <w:rFonts w:hint="eastAsia" w:ascii="仿宋_GB2312" w:hAnsi="仿宋_GB2312" w:eastAsia="仿宋_GB2312" w:cs="仿宋_GB2312"/>
                <w:sz w:val="32"/>
                <w:szCs w:val="32"/>
                <w:vertAlign w:val="baseline"/>
                <w:lang w:val="en-US" w:eastAsia="zh-CN"/>
              </w:rPr>
              <w:t>.形成困境儿童风险登记评估“一人一表”。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w:t>
            </w:r>
          </w:p>
        </w:tc>
        <w:tc>
          <w:tcPr>
            <w:tcW w:w="5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3" w:firstLineChars="200"/>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评估分析：</w:t>
            </w:r>
            <w:r>
              <w:rPr>
                <w:rFonts w:hint="eastAsia" w:ascii="仿宋_GB2312" w:hAnsi="仿宋_GB2312" w:eastAsia="仿宋_GB2312" w:cs="仿宋_GB2312"/>
                <w:sz w:val="32"/>
                <w:szCs w:val="32"/>
                <w:vertAlign w:val="baseline"/>
                <w:lang w:val="en-US" w:eastAsia="zh-CN"/>
              </w:rPr>
              <w:t>对全区困境儿童风险等级评估总体情况进行综合分析，并出具高风险等级困境儿童个案帮扶建议和全区困境儿童结构分析报告。</w:t>
            </w:r>
          </w:p>
        </w:tc>
        <w:tc>
          <w:tcPr>
            <w:tcW w:w="3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w:t>
            </w:r>
            <w:r>
              <w:rPr>
                <w:rFonts w:hint="eastAsia" w:ascii="仿宋_GB2312" w:hAnsi="仿宋_GB2312" w:eastAsia="仿宋_GB2312" w:cs="仿宋_GB2312"/>
                <w:sz w:val="32"/>
                <w:szCs w:val="32"/>
                <w:vertAlign w:val="baseline"/>
                <w:lang w:val="en-US" w:eastAsia="zh-CN"/>
              </w:rPr>
              <w:t>.出具区困境儿童结构分析报告</w:t>
            </w:r>
            <w:r>
              <w:rPr>
                <w:rFonts w:hint="eastAsia" w:ascii="Times New Roman" w:hAnsi="Times New Roman" w:eastAsia="仿宋_GB2312" w:cs="Times New Roman"/>
                <w:sz w:val="32"/>
                <w:szCs w:val="32"/>
                <w:vertAlign w:val="baseline"/>
                <w:lang w:val="en-US" w:eastAsia="zh-CN"/>
              </w:rPr>
              <w:t>1</w:t>
            </w:r>
            <w:r>
              <w:rPr>
                <w:rFonts w:hint="eastAsia" w:ascii="仿宋_GB2312" w:hAnsi="仿宋_GB2312" w:eastAsia="仿宋_GB2312" w:cs="仿宋_GB2312"/>
                <w:sz w:val="32"/>
                <w:szCs w:val="32"/>
                <w:vertAlign w:val="baseline"/>
                <w:lang w:val="en-US" w:eastAsia="zh-CN"/>
              </w:rPr>
              <w:t>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jc w:val="both"/>
              <w:textAlignment w:val="auto"/>
              <w:rPr>
                <w:rFonts w:hint="default" w:ascii="仿宋_GB2312" w:hAnsi="仿宋_GB2312" w:eastAsia="仿宋_GB2312" w:cs="仿宋_GB2312"/>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w:t>
            </w:r>
            <w:r>
              <w:rPr>
                <w:rFonts w:hint="eastAsia" w:ascii="仿宋_GB2312" w:hAnsi="仿宋_GB2312" w:eastAsia="仿宋_GB2312" w:cs="仿宋_GB2312"/>
                <w:sz w:val="32"/>
                <w:szCs w:val="32"/>
                <w:vertAlign w:val="baseline"/>
                <w:lang w:val="en-US" w:eastAsia="zh-CN"/>
              </w:rPr>
              <w:t>.高风险等级困境儿童个案帮扶建议</w:t>
            </w:r>
            <w:r>
              <w:rPr>
                <w:rFonts w:hint="eastAsia" w:ascii="Times New Roman" w:hAnsi="Times New Roman" w:eastAsia="仿宋_GB2312" w:cs="Times New Roman"/>
                <w:sz w:val="32"/>
                <w:szCs w:val="32"/>
                <w:vertAlign w:val="baseline"/>
                <w:lang w:val="en-US" w:eastAsia="zh-CN"/>
              </w:rPr>
              <w:t>1</w:t>
            </w:r>
            <w:r>
              <w:rPr>
                <w:rFonts w:hint="eastAsia" w:ascii="仿宋_GB2312" w:hAnsi="仿宋_GB2312" w:eastAsia="仿宋_GB2312" w:cs="仿宋_GB2312"/>
                <w:sz w:val="32"/>
                <w:szCs w:val="32"/>
                <w:vertAlign w:val="baseline"/>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黑体" w:hAnsi="黑体" w:eastAsia="黑体" w:cs="黑体"/>
                <w:sz w:val="32"/>
                <w:szCs w:val="32"/>
                <w:vertAlign w:val="baseline"/>
                <w:lang w:val="en-US" w:eastAsia="zh-CN"/>
              </w:rPr>
              <w:t>项目人员配备：</w:t>
            </w:r>
            <w:r>
              <w:rPr>
                <w:rFonts w:hint="eastAsia" w:ascii="仿宋_GB2312" w:hAnsi="仿宋_GB2312" w:eastAsia="仿宋_GB2312" w:cs="仿宋_GB2312"/>
                <w:sz w:val="32"/>
                <w:szCs w:val="32"/>
                <w:vertAlign w:val="baseline"/>
                <w:lang w:val="en-US" w:eastAsia="zh-CN"/>
              </w:rPr>
              <w:t>建立一支专业技能较强、较稳定的评估服务队伍，项目共配备</w:t>
            </w:r>
            <w:r>
              <w:rPr>
                <w:rFonts w:hint="default" w:ascii="Times New Roman" w:hAnsi="Times New Roman" w:eastAsia="仿宋_GB2312" w:cs="Times New Roman"/>
                <w:sz w:val="32"/>
                <w:szCs w:val="32"/>
                <w:vertAlign w:val="baseline"/>
                <w:lang w:val="en-US" w:eastAsia="zh-CN"/>
              </w:rPr>
              <w:t>6</w:t>
            </w:r>
            <w:r>
              <w:rPr>
                <w:rFonts w:hint="eastAsia" w:ascii="仿宋_GB2312" w:hAnsi="仿宋_GB2312" w:eastAsia="仿宋_GB2312" w:cs="仿宋_GB2312"/>
                <w:sz w:val="32"/>
                <w:szCs w:val="32"/>
                <w:vertAlign w:val="baseline"/>
                <w:lang w:val="en-US" w:eastAsia="zh-CN"/>
              </w:rPr>
              <w:t>名工作人员，项目应配备</w:t>
            </w:r>
            <w:r>
              <w:rPr>
                <w:rFonts w:hint="eastAsia" w:ascii="Times New Roman" w:hAnsi="Times New Roman" w:eastAsia="仿宋_GB2312" w:cs="Times New Roman"/>
                <w:sz w:val="32"/>
                <w:szCs w:val="32"/>
                <w:vertAlign w:val="baseline"/>
                <w:lang w:val="en-US" w:eastAsia="zh-CN"/>
              </w:rPr>
              <w:t>1</w:t>
            </w:r>
            <w:r>
              <w:rPr>
                <w:rFonts w:hint="eastAsia" w:ascii="仿宋_GB2312" w:hAnsi="仿宋_GB2312" w:eastAsia="仿宋_GB2312" w:cs="仿宋_GB2312"/>
                <w:sz w:val="32"/>
                <w:szCs w:val="32"/>
                <w:vertAlign w:val="baseline"/>
                <w:lang w:val="en-US" w:eastAsia="zh-CN"/>
              </w:rPr>
              <w:t>名中级社工职称的项目主任，</w:t>
            </w:r>
            <w:r>
              <w:rPr>
                <w:rFonts w:hint="eastAsia" w:ascii="Times New Roman" w:hAnsi="Times New Roman" w:eastAsia="仿宋_GB2312" w:cs="Times New Roman"/>
                <w:sz w:val="32"/>
                <w:szCs w:val="32"/>
                <w:vertAlign w:val="baseline"/>
                <w:lang w:val="en-US" w:eastAsia="zh-CN"/>
              </w:rPr>
              <w:t>5</w:t>
            </w:r>
            <w:r>
              <w:rPr>
                <w:rFonts w:hint="eastAsia" w:ascii="仿宋_GB2312" w:hAnsi="仿宋_GB2312" w:eastAsia="仿宋_GB2312" w:cs="仿宋_GB2312"/>
                <w:sz w:val="32"/>
                <w:szCs w:val="32"/>
                <w:vertAlign w:val="baseline"/>
                <w:lang w:val="en-US" w:eastAsia="zh-CN"/>
              </w:rPr>
              <w:t>名持初级社工职称以上或具备三级心理咨询师及以上资质的项目社工参与。评估工作团队的工作人员应具有</w:t>
            </w:r>
            <w:r>
              <w:rPr>
                <w:rFonts w:hint="eastAsia" w:ascii="Times New Roman" w:hAnsi="Times New Roman" w:eastAsia="仿宋_GB2312" w:cs="Times New Roman"/>
                <w:sz w:val="32"/>
                <w:szCs w:val="32"/>
                <w:vertAlign w:val="baseline"/>
                <w:lang w:val="en-US" w:eastAsia="zh-CN"/>
              </w:rPr>
              <w:t>2</w:t>
            </w:r>
            <w:r>
              <w:rPr>
                <w:rFonts w:hint="eastAsia" w:ascii="仿宋_GB2312" w:hAnsi="仿宋_GB2312" w:eastAsia="仿宋_GB2312" w:cs="仿宋_GB2312"/>
                <w:sz w:val="32"/>
                <w:szCs w:val="32"/>
                <w:vertAlign w:val="baseline"/>
                <w:lang w:val="en-US" w:eastAsia="zh-CN"/>
              </w:rPr>
              <w:t>年（含）以上困境儿童服务工作经验。</w:t>
            </w:r>
          </w:p>
        </w:tc>
      </w:tr>
    </w:tbl>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2"/>
          <w:sz w:val="32"/>
          <w:szCs w:val="32"/>
          <w:highlight w:val="none"/>
          <w:lang w:val="en-US" w:eastAsia="zh-CN" w:bidi="ar-SA"/>
        </w:rPr>
      </w:pPr>
      <w:r>
        <w:rPr>
          <w:rFonts w:hint="eastAsia" w:ascii="Times New Roman" w:hAnsi="Times New Roman" w:eastAsia="黑体" w:cs="Times New Roman"/>
          <w:b w:val="0"/>
          <w:bCs/>
          <w:color w:val="auto"/>
          <w:kern w:val="2"/>
          <w:sz w:val="32"/>
          <w:szCs w:val="32"/>
          <w:highlight w:val="none"/>
          <w:lang w:val="en-US" w:eastAsia="zh-CN" w:bidi="ar-SA"/>
        </w:rPr>
        <w:t>二</w:t>
      </w:r>
      <w:r>
        <w:rPr>
          <w:rFonts w:hint="default" w:ascii="Times New Roman" w:hAnsi="Times New Roman" w:eastAsia="黑体" w:cs="Times New Roman"/>
          <w:b w:val="0"/>
          <w:bCs/>
          <w:color w:val="auto"/>
          <w:kern w:val="2"/>
          <w:sz w:val="32"/>
          <w:szCs w:val="32"/>
          <w:highlight w:val="none"/>
          <w:lang w:val="en-US" w:eastAsia="zh-CN" w:bidi="ar-SA"/>
        </w:rPr>
        <w:t>、</w:t>
      </w:r>
      <w:r>
        <w:rPr>
          <w:rFonts w:hint="eastAsia" w:ascii="Times New Roman" w:hAnsi="Times New Roman" w:eastAsia="黑体" w:cs="Times New Roman"/>
          <w:b w:val="0"/>
          <w:bCs/>
          <w:color w:val="auto"/>
          <w:kern w:val="2"/>
          <w:sz w:val="32"/>
          <w:szCs w:val="32"/>
          <w:highlight w:val="none"/>
          <w:lang w:val="en-US" w:eastAsia="zh-CN" w:bidi="ar-SA"/>
        </w:rPr>
        <w:t>评审细则</w:t>
      </w:r>
    </w:p>
    <w:tbl>
      <w:tblPr>
        <w:tblStyle w:val="5"/>
        <w:tblW w:w="5305" w:type="pct"/>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2564"/>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t>评审因素</w:t>
            </w:r>
          </w:p>
        </w:tc>
        <w:tc>
          <w:tcPr>
            <w:tcW w:w="4141" w:type="pct"/>
            <w:gridSpan w:val="2"/>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t>分值构成</w:t>
            </w:r>
          </w:p>
        </w:tc>
        <w:tc>
          <w:tcPr>
            <w:tcW w:w="4141" w:type="pct"/>
            <w:gridSpan w:val="2"/>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t>商务部分</w:t>
            </w:r>
            <w:r>
              <w:rPr>
                <w:rFonts w:hint="default" w:ascii="Times New Roman" w:hAnsi="Times New Roman" w:eastAsia="仿宋_GB2312" w:cs="Times New Roman"/>
                <w:b w:val="0"/>
                <w:bCs/>
                <w:color w:val="000000" w:themeColor="text1"/>
                <w:sz w:val="32"/>
                <w:szCs w:val="32"/>
                <w:highlight w:val="none"/>
                <w:vertAlign w:val="baseline"/>
                <w:lang w:val="en-US" w:eastAsia="zh-CN"/>
                <w14:textFill>
                  <w14:solidFill>
                    <w14:schemeClr w14:val="tx1"/>
                  </w14:solidFill>
                </w14:textFill>
              </w:rPr>
              <w:t>45.0</w:t>
            </w:r>
            <w:r>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t>分</w:t>
            </w:r>
          </w:p>
          <w:p>
            <w:pPr>
              <w:pStyle w:val="2"/>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t>技术部分</w:t>
            </w:r>
            <w:r>
              <w:rPr>
                <w:rFonts w:hint="eastAsia" w:ascii="Times New Roman" w:hAnsi="Times New Roman" w:eastAsia="仿宋_GB2312" w:cs="Times New Roman"/>
                <w:b w:val="0"/>
                <w:bCs/>
                <w:color w:val="000000" w:themeColor="text1"/>
                <w:kern w:val="2"/>
                <w:sz w:val="32"/>
                <w:szCs w:val="32"/>
                <w:highlight w:val="none"/>
                <w:vertAlign w:val="baseline"/>
                <w:lang w:val="en-US" w:eastAsia="zh-CN" w:bidi="ar-SA"/>
                <w14:textFill>
                  <w14:solidFill>
                    <w14:schemeClr w14:val="tx1"/>
                  </w14:solidFill>
                </w14:textFill>
              </w:rPr>
              <w:t>45.0</w:t>
            </w:r>
            <w:r>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t>分</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t>报价得分</w:t>
            </w:r>
            <w:r>
              <w:rPr>
                <w:rFonts w:hint="eastAsia" w:ascii="Times New Roman" w:hAnsi="Times New Roman" w:eastAsia="仿宋_GB2312" w:cs="Times New Roman"/>
                <w:b w:val="0"/>
                <w:bCs/>
                <w:color w:val="000000" w:themeColor="text1"/>
                <w:sz w:val="32"/>
                <w:szCs w:val="32"/>
                <w:highlight w:val="none"/>
                <w:vertAlign w:val="baseline"/>
                <w:lang w:val="en-US" w:eastAsia="zh-CN"/>
                <w14:textFill>
                  <w14:solidFill>
                    <w14:schemeClr w14:val="tx1"/>
                  </w14:solidFill>
                </w14:textFill>
              </w:rPr>
              <w:t>10.0</w:t>
            </w:r>
            <w:r>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Merge w:val="restart"/>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t>商务部分</w:t>
            </w:r>
          </w:p>
          <w:p>
            <w:pPr>
              <w:pStyle w:val="2"/>
              <w:pageBreakBefore w:val="0"/>
              <w:kinsoku/>
              <w:overflowPunct/>
              <w:topLinePunct w:val="0"/>
              <w:autoSpaceDE/>
              <w:autoSpaceDN/>
              <w:bidi w:val="0"/>
              <w:adjustRightInd/>
              <w:snapToGrid/>
              <w:spacing w:before="0" w:beforeLines="0" w:after="0" w:afterLines="0" w:line="560"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t>（</w:t>
            </w:r>
            <w:r>
              <w:rPr>
                <w:rFonts w:hint="default"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45.0</w:t>
            </w:r>
            <w:r>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t>分）</w:t>
            </w:r>
          </w:p>
        </w:tc>
        <w:tc>
          <w:tcPr>
            <w:tcW w:w="1333"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报价单位</w:t>
            </w:r>
            <w:r>
              <w:rPr>
                <w:rFonts w:hint="eastAsia" w:ascii="仿宋_GB2312" w:hAnsi="仿宋_GB2312" w:eastAsia="仿宋_GB2312" w:cs="仿宋_GB2312"/>
                <w:color w:val="000000" w:themeColor="text1"/>
                <w:sz w:val="32"/>
                <w:szCs w:val="32"/>
                <w14:textFill>
                  <w14:solidFill>
                    <w14:schemeClr w14:val="tx1"/>
                  </w14:solidFill>
                </w14:textFill>
              </w:rPr>
              <w:t>的综合实力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tc>
        <w:tc>
          <w:tcPr>
            <w:tcW w:w="2808"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报价单位</w:t>
            </w:r>
            <w:r>
              <w:rPr>
                <w:rFonts w:hint="eastAsia" w:ascii="仿宋_GB2312" w:hAnsi="仿宋_GB2312" w:eastAsia="仿宋_GB2312" w:cs="仿宋_GB2312"/>
                <w:color w:val="000000" w:themeColor="text1"/>
                <w:sz w:val="32"/>
                <w:szCs w:val="32"/>
                <w14:textFill>
                  <w14:solidFill>
                    <w14:schemeClr w14:val="tx1"/>
                  </w14:solidFill>
                </w14:textFill>
              </w:rPr>
              <w:t>参与各级民政部门实施的社会组织等级评估，并获得相应评估等级。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获得</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5A</w:t>
            </w:r>
            <w:r>
              <w:rPr>
                <w:rFonts w:hint="eastAsia" w:ascii="仿宋_GB2312" w:hAnsi="仿宋_GB2312" w:eastAsia="仿宋_GB2312" w:cs="仿宋_GB2312"/>
                <w:color w:val="000000" w:themeColor="text1"/>
                <w:sz w:val="32"/>
                <w:szCs w:val="32"/>
                <w14:textFill>
                  <w14:solidFill>
                    <w14:schemeClr w14:val="tx1"/>
                  </w14:solidFill>
                </w14:textFill>
              </w:rPr>
              <w:t>等级的，得</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获得</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4A</w:t>
            </w:r>
            <w:r>
              <w:rPr>
                <w:rFonts w:hint="eastAsia" w:ascii="仿宋_GB2312" w:hAnsi="仿宋_GB2312" w:eastAsia="仿宋_GB2312" w:cs="仿宋_GB2312"/>
                <w:color w:val="000000" w:themeColor="text1"/>
                <w:sz w:val="32"/>
                <w:szCs w:val="32"/>
                <w14:textFill>
                  <w14:solidFill>
                    <w14:schemeClr w14:val="tx1"/>
                  </w14:solidFill>
                </w14:textFill>
              </w:rPr>
              <w:t>等级的，得</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获得</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3A</w:t>
            </w:r>
            <w:r>
              <w:rPr>
                <w:rFonts w:hint="eastAsia" w:ascii="仿宋_GB2312" w:hAnsi="仿宋_GB2312" w:eastAsia="仿宋_GB2312" w:cs="仿宋_GB2312"/>
                <w:color w:val="000000" w:themeColor="text1"/>
                <w:sz w:val="32"/>
                <w:szCs w:val="32"/>
                <w14:textFill>
                  <w14:solidFill>
                    <w14:schemeClr w14:val="tx1"/>
                  </w14:solidFill>
                </w14:textFill>
              </w:rPr>
              <w:t>等级或以下的，得</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注：须提供证明材料，</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未</w:t>
            </w:r>
            <w:r>
              <w:rPr>
                <w:rFonts w:hint="eastAsia" w:ascii="仿宋_GB2312" w:hAnsi="仿宋_GB2312" w:eastAsia="仿宋_GB2312" w:cs="仿宋_GB2312"/>
                <w:b/>
                <w:bCs/>
                <w:color w:val="000000" w:themeColor="text1"/>
                <w:sz w:val="32"/>
                <w:szCs w:val="32"/>
                <w14:textFill>
                  <w14:solidFill>
                    <w14:schemeClr w14:val="tx1"/>
                  </w14:solidFill>
                </w14:textFill>
              </w:rPr>
              <w:t>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pPr>
          </w:p>
        </w:tc>
        <w:tc>
          <w:tcPr>
            <w:tcW w:w="1333"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同类项目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tc>
        <w:tc>
          <w:tcPr>
            <w:tcW w:w="2808"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2022</w:t>
            </w:r>
            <w:r>
              <w:rPr>
                <w:rFonts w:hint="eastAsia" w:ascii="仿宋_GB2312" w:hAnsi="仿宋_GB2312" w:eastAsia="仿宋_GB2312" w:cs="仿宋_GB2312"/>
                <w:color w:val="000000" w:themeColor="text1"/>
                <w:sz w:val="32"/>
                <w:szCs w:val="32"/>
                <w:lang w:eastAsia="zh-CN"/>
                <w14:textFill>
                  <w14:solidFill>
                    <w14:schemeClr w14:val="tx1"/>
                  </w14:solidFill>
                </w14:textFill>
              </w:rPr>
              <w:t>年以来，</w:t>
            </w:r>
            <w:r>
              <w:rPr>
                <w:rFonts w:hint="eastAsia" w:ascii="仿宋_GB2312" w:hAnsi="仿宋_GB2312" w:eastAsia="仿宋_GB2312" w:cs="仿宋_GB2312"/>
                <w:color w:val="000000" w:themeColor="text1"/>
                <w:sz w:val="32"/>
                <w:szCs w:val="32"/>
                <w14:textFill>
                  <w14:solidFill>
                    <w14:schemeClr w14:val="tx1"/>
                  </w14:solidFill>
                </w14:textFill>
              </w:rPr>
              <w:t>根据各</w:t>
            </w:r>
            <w:r>
              <w:rPr>
                <w:rFonts w:hint="eastAsia" w:ascii="仿宋_GB2312" w:hAnsi="仿宋_GB2312" w:eastAsia="仿宋_GB2312" w:cs="仿宋_GB2312"/>
                <w:color w:val="000000" w:themeColor="text1"/>
                <w:sz w:val="32"/>
                <w:szCs w:val="32"/>
                <w:lang w:eastAsia="zh-CN"/>
                <w14:textFill>
                  <w14:solidFill>
                    <w14:schemeClr w14:val="tx1"/>
                  </w14:solidFill>
                </w14:textFill>
              </w:rPr>
              <w:t>报价单位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承接政府部门或相关事业单位困境儿童关爱服务项目</w:t>
            </w:r>
            <w:r>
              <w:rPr>
                <w:rFonts w:hint="eastAsia" w:ascii="仿宋_GB2312" w:hAnsi="仿宋_GB2312" w:eastAsia="仿宋_GB2312" w:cs="仿宋_GB2312"/>
                <w:color w:val="000000" w:themeColor="text1"/>
                <w:sz w:val="32"/>
                <w:szCs w:val="32"/>
                <w14:textFill>
                  <w14:solidFill>
                    <w14:schemeClr w14:val="tx1"/>
                  </w14:solidFill>
                </w14:textFill>
              </w:rPr>
              <w:t>评分，每个项目得</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分，本小项最多得</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2022</w:t>
            </w:r>
            <w:r>
              <w:rPr>
                <w:rFonts w:hint="eastAsia" w:ascii="仿宋_GB2312" w:hAnsi="仿宋_GB2312" w:eastAsia="仿宋_GB2312" w:cs="仿宋_GB2312"/>
                <w:color w:val="000000" w:themeColor="text1"/>
                <w:sz w:val="32"/>
                <w:szCs w:val="32"/>
                <w:lang w:eastAsia="zh-CN"/>
                <w14:textFill>
                  <w14:solidFill>
                    <w14:schemeClr w14:val="tx1"/>
                  </w14:solidFill>
                </w14:textFill>
              </w:rPr>
              <w:t>年以来，</w:t>
            </w:r>
            <w:r>
              <w:rPr>
                <w:rFonts w:hint="eastAsia" w:ascii="仿宋_GB2312" w:hAnsi="仿宋_GB2312" w:eastAsia="仿宋_GB2312" w:cs="仿宋_GB2312"/>
                <w:color w:val="000000" w:themeColor="text1"/>
                <w:sz w:val="32"/>
                <w:szCs w:val="32"/>
                <w14:textFill>
                  <w14:solidFill>
                    <w14:schemeClr w14:val="tx1"/>
                  </w14:solidFill>
                </w14:textFill>
              </w:rPr>
              <w:t>根据各</w:t>
            </w:r>
            <w:r>
              <w:rPr>
                <w:rFonts w:hint="eastAsia" w:ascii="仿宋_GB2312" w:hAnsi="仿宋_GB2312" w:eastAsia="仿宋_GB2312" w:cs="仿宋_GB2312"/>
                <w:color w:val="000000" w:themeColor="text1"/>
                <w:sz w:val="32"/>
                <w:szCs w:val="32"/>
                <w:lang w:eastAsia="zh-CN"/>
                <w14:textFill>
                  <w14:solidFill>
                    <w14:schemeClr w14:val="tx1"/>
                  </w14:solidFill>
                </w14:textFill>
              </w:rPr>
              <w:t>报价单位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承接政府部门或相关事业单位关于困境儿童或未成年人风险等级评估、调查等</w:t>
            </w:r>
            <w:r>
              <w:rPr>
                <w:rFonts w:hint="eastAsia" w:ascii="仿宋_GB2312" w:hAnsi="仿宋_GB2312" w:eastAsia="仿宋_GB2312" w:cs="仿宋_GB2312"/>
                <w:color w:val="000000" w:themeColor="text1"/>
                <w:sz w:val="32"/>
                <w:szCs w:val="32"/>
                <w14:textFill>
                  <w14:solidFill>
                    <w14:schemeClr w14:val="tx1"/>
                  </w14:solidFill>
                </w14:textFill>
              </w:rPr>
              <w:t>同类项目经验进行评分，每个项目得</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分，本小项最多得</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注：需同时提供合同关键页复印件，加盖</w:t>
            </w:r>
            <w:r>
              <w:rPr>
                <w:rStyle w:val="7"/>
                <w:rFonts w:hint="eastAsia" w:ascii="仿宋_GB2312" w:hAnsi="仿宋_GB2312" w:eastAsia="仿宋_GB2312" w:cs="仿宋_GB2312"/>
                <w:color w:val="000000" w:themeColor="text1"/>
                <w:sz w:val="32"/>
                <w:szCs w:val="32"/>
                <w:lang w:eastAsia="zh-CN"/>
                <w14:textFill>
                  <w14:solidFill>
                    <w14:schemeClr w14:val="tx1"/>
                  </w14:solidFill>
                </w14:textFill>
              </w:rPr>
              <w:t>报价单位</w:t>
            </w:r>
            <w:r>
              <w:rPr>
                <w:rStyle w:val="7"/>
                <w:rFonts w:hint="eastAsia" w:ascii="仿宋_GB2312" w:hAnsi="仿宋_GB2312" w:eastAsia="仿宋_GB2312" w:cs="仿宋_GB2312"/>
                <w:color w:val="000000" w:themeColor="text1"/>
                <w:sz w:val="32"/>
                <w:szCs w:val="32"/>
                <w14:textFill>
                  <w14:solidFill>
                    <w14:schemeClr w14:val="tx1"/>
                  </w14:solidFill>
                </w14:textFill>
              </w:rPr>
              <w:t>单位公章。</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未</w:t>
            </w:r>
            <w:r>
              <w:rPr>
                <w:rStyle w:val="7"/>
                <w:rFonts w:hint="eastAsia" w:ascii="仿宋_GB2312" w:hAnsi="仿宋_GB2312" w:eastAsia="仿宋_GB2312" w:cs="仿宋_GB2312"/>
                <w:color w:val="000000" w:themeColor="text1"/>
                <w:sz w:val="32"/>
                <w:szCs w:val="32"/>
                <w14:textFill>
                  <w14:solidFill>
                    <w14:schemeClr w14:val="tx1"/>
                  </w14:solidFill>
                </w14:textFill>
              </w:rPr>
              <w:t>提供或提供不全不计算得分。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pPr>
          </w:p>
        </w:tc>
        <w:tc>
          <w:tcPr>
            <w:tcW w:w="1333"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拟投入的服务人员情况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tc>
        <w:tc>
          <w:tcPr>
            <w:tcW w:w="2808"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横向对比各</w:t>
            </w:r>
            <w:r>
              <w:rPr>
                <w:rFonts w:hint="eastAsia" w:ascii="仿宋_GB2312" w:hAnsi="仿宋_GB2312" w:eastAsia="仿宋_GB2312" w:cs="仿宋_GB2312"/>
                <w:color w:val="000000" w:themeColor="text1"/>
                <w:sz w:val="32"/>
                <w:szCs w:val="32"/>
                <w:lang w:eastAsia="zh-CN"/>
                <w14:textFill>
                  <w14:solidFill>
                    <w14:schemeClr w14:val="tx1"/>
                  </w14:solidFill>
                </w14:textFill>
              </w:rPr>
              <w:t>报价单位</w:t>
            </w:r>
            <w:r>
              <w:rPr>
                <w:rFonts w:hint="eastAsia" w:ascii="仿宋_GB2312" w:hAnsi="仿宋_GB2312" w:eastAsia="仿宋_GB2312" w:cs="仿宋_GB2312"/>
                <w:color w:val="000000" w:themeColor="text1"/>
                <w:sz w:val="32"/>
                <w:szCs w:val="32"/>
                <w14:textFill>
                  <w14:solidFill>
                    <w14:schemeClr w14:val="tx1"/>
                  </w14:solidFill>
                </w14:textFill>
              </w:rPr>
              <w:t>拟投入的服务人员数量和资质情况，优</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分，良</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分，中</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分，差</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pPr>
          </w:p>
        </w:tc>
        <w:tc>
          <w:tcPr>
            <w:tcW w:w="1333"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规章管理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tc>
        <w:tc>
          <w:tcPr>
            <w:tcW w:w="2808"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横向对比各</w:t>
            </w:r>
            <w:r>
              <w:rPr>
                <w:rFonts w:hint="eastAsia" w:ascii="仿宋_GB2312" w:hAnsi="仿宋_GB2312" w:eastAsia="仿宋_GB2312" w:cs="仿宋_GB2312"/>
                <w:color w:val="000000" w:themeColor="text1"/>
                <w:sz w:val="32"/>
                <w:szCs w:val="32"/>
                <w:lang w:eastAsia="zh-CN"/>
                <w14:textFill>
                  <w14:solidFill>
                    <w14:schemeClr w14:val="tx1"/>
                  </w14:solidFill>
                </w14:textFill>
              </w:rPr>
              <w:t>报价单位</w:t>
            </w:r>
            <w:r>
              <w:rPr>
                <w:rFonts w:hint="eastAsia" w:ascii="仿宋_GB2312" w:hAnsi="仿宋_GB2312" w:eastAsia="仿宋_GB2312" w:cs="仿宋_GB2312"/>
                <w:color w:val="000000" w:themeColor="text1"/>
                <w:sz w:val="32"/>
                <w:szCs w:val="32"/>
                <w14:textFill>
                  <w14:solidFill>
                    <w14:schemeClr w14:val="tx1"/>
                  </w14:solidFill>
                </w14:textFill>
              </w:rPr>
              <w:t>确保机构及项目良好运作的相关行政管理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财务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制度，优</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分，良</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分，中</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分，差</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pPr>
          </w:p>
        </w:tc>
        <w:tc>
          <w:tcPr>
            <w:tcW w:w="1333" w:type="pct"/>
            <w:vAlign w:val="center"/>
          </w:tcPr>
          <w:p>
            <w:pPr>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社会影响力</w:t>
            </w:r>
          </w:p>
          <w:p>
            <w:pPr>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tc>
        <w:tc>
          <w:tcPr>
            <w:tcW w:w="2808" w:type="pct"/>
            <w:vAlign w:val="center"/>
          </w:tcPr>
          <w:p>
            <w:pPr>
              <w:pageBreakBefore w:val="0"/>
              <w:kinsoku/>
              <w:overflowPunct/>
              <w:topLinePunct w:val="0"/>
              <w:autoSpaceDE/>
              <w:autoSpaceDN/>
              <w:bidi w:val="0"/>
              <w:adjustRightInd/>
              <w:snapToGrid/>
              <w:spacing w:line="560" w:lineRule="exact"/>
              <w:ind w:right="-53" w:rightChars="-25"/>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2022</w:t>
            </w:r>
            <w:r>
              <w:rPr>
                <w:rFonts w:hint="eastAsia" w:ascii="仿宋_GB2312" w:hAnsi="仿宋_GB2312" w:eastAsia="仿宋_GB2312" w:cs="仿宋_GB2312"/>
                <w:color w:val="000000" w:themeColor="text1"/>
                <w:sz w:val="32"/>
                <w:szCs w:val="32"/>
                <w:lang w:eastAsia="zh-CN"/>
                <w14:textFill>
                  <w14:solidFill>
                    <w14:schemeClr w14:val="tx1"/>
                  </w14:solidFill>
                </w14:textFill>
              </w:rPr>
              <w:t>年以来，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机构或</w:t>
            </w:r>
            <w:r>
              <w:rPr>
                <w:rFonts w:hint="eastAsia" w:ascii="仿宋_GB2312" w:hAnsi="仿宋_GB2312" w:eastAsia="仿宋_GB2312" w:cs="仿宋_GB2312"/>
                <w:color w:val="000000" w:themeColor="text1"/>
                <w:kern w:val="0"/>
                <w:sz w:val="32"/>
                <w:szCs w:val="32"/>
                <w14:textFill>
                  <w14:solidFill>
                    <w14:schemeClr w14:val="tx1"/>
                  </w14:solidFill>
                </w14:textFill>
              </w:rPr>
              <w:t>政府部门或行业协会组织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表彰的</w:t>
            </w:r>
            <w:r>
              <w:rPr>
                <w:rFonts w:hint="eastAsia" w:ascii="仿宋_GB2312" w:hAnsi="仿宋_GB2312" w:eastAsia="仿宋_GB2312" w:cs="仿宋_GB2312"/>
                <w:color w:val="000000" w:themeColor="text1"/>
                <w:kern w:val="0"/>
                <w:sz w:val="32"/>
                <w:szCs w:val="32"/>
                <w14:textFill>
                  <w14:solidFill>
                    <w14:schemeClr w14:val="tx1"/>
                  </w14:solidFill>
                </w14:textFill>
              </w:rPr>
              <w:t>，每</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14:textFill>
                  <w14:solidFill>
                    <w14:schemeClr w14:val="tx1"/>
                  </w14:solidFill>
                </w14:textFill>
              </w:rPr>
              <w:t>得</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分，本小项最多得</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提交</w:t>
            </w:r>
            <w:r>
              <w:rPr>
                <w:rFonts w:hint="eastAsia" w:ascii="仿宋_GB2312" w:hAnsi="仿宋_GB2312" w:eastAsia="仿宋_GB2312" w:cs="仿宋_GB2312"/>
                <w:color w:val="000000" w:themeColor="text1"/>
                <w:kern w:val="0"/>
                <w:sz w:val="32"/>
                <w:szCs w:val="32"/>
                <w14:textFill>
                  <w14:solidFill>
                    <w14:schemeClr w14:val="tx1"/>
                  </w14:solidFill>
                </w14:textFill>
              </w:rPr>
              <w:t>政府部门或行业协会组织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表彰的红头文件、证书、牌匾等</w:t>
            </w:r>
            <w:r>
              <w:rPr>
                <w:rFonts w:hint="eastAsia" w:ascii="仿宋_GB2312" w:hAnsi="仿宋_GB2312" w:eastAsia="仿宋_GB2312" w:cs="仿宋_GB2312"/>
                <w:color w:val="000000" w:themeColor="text1"/>
                <w:kern w:val="0"/>
                <w:sz w:val="32"/>
                <w:szCs w:val="32"/>
                <w14:textFill>
                  <w14:solidFill>
                    <w14:schemeClr w14:val="tx1"/>
                  </w14:solidFill>
                </w14:textFill>
              </w:rPr>
              <w:t>，无有效证明资料的得</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Merge w:val="restart"/>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t>技术部分</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t>（</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45.0</w:t>
            </w:r>
            <w:r>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t>分）</w:t>
            </w:r>
          </w:p>
        </w:tc>
        <w:tc>
          <w:tcPr>
            <w:tcW w:w="1333"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困境儿童关爱服务</w:t>
            </w:r>
            <w:r>
              <w:rPr>
                <w:rFonts w:hint="eastAsia" w:ascii="仿宋_GB2312" w:hAnsi="仿宋_GB2312" w:eastAsia="仿宋_GB2312" w:cs="仿宋_GB2312"/>
                <w:color w:val="000000" w:themeColor="text1"/>
                <w:sz w:val="32"/>
                <w:szCs w:val="32"/>
                <w14:textFill>
                  <w14:solidFill>
                    <w14:schemeClr w14:val="tx1"/>
                  </w14:solidFill>
                </w14:textFill>
              </w:rPr>
              <w:t>工作的认知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w:t>
            </w:r>
          </w:p>
        </w:tc>
        <w:tc>
          <w:tcPr>
            <w:tcW w:w="2808"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横向对比各</w:t>
            </w:r>
            <w:r>
              <w:rPr>
                <w:rFonts w:hint="eastAsia" w:ascii="仿宋_GB2312" w:hAnsi="仿宋_GB2312" w:eastAsia="仿宋_GB2312" w:cs="仿宋_GB2312"/>
                <w:color w:val="000000" w:themeColor="text1"/>
                <w:sz w:val="32"/>
                <w:szCs w:val="32"/>
                <w:lang w:eastAsia="zh-CN"/>
                <w14:textFill>
                  <w14:solidFill>
                    <w14:schemeClr w14:val="tx1"/>
                  </w14:solidFill>
                </w14:textFill>
              </w:rPr>
              <w:t>报价单位</w:t>
            </w:r>
            <w:r>
              <w:rPr>
                <w:rFonts w:hint="eastAsia" w:ascii="仿宋_GB2312" w:hAnsi="仿宋_GB2312" w:eastAsia="仿宋_GB2312" w:cs="仿宋_GB2312"/>
                <w:color w:val="000000" w:themeColor="text1"/>
                <w:sz w:val="32"/>
                <w:szCs w:val="32"/>
                <w14:textFill>
                  <w14:solidFill>
                    <w14:schemeClr w14:val="tx1"/>
                  </w14:solidFill>
                </w14:textFill>
              </w:rPr>
              <w:t>对项目的理解，优</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分，良</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分，中</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分，差</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pPr>
          </w:p>
        </w:tc>
        <w:tc>
          <w:tcPr>
            <w:tcW w:w="1333"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报价单位</w:t>
            </w:r>
            <w:r>
              <w:rPr>
                <w:rFonts w:hint="eastAsia" w:ascii="仿宋_GB2312" w:hAnsi="仿宋_GB2312" w:eastAsia="仿宋_GB2312" w:cs="仿宋_GB2312"/>
                <w:color w:val="000000" w:themeColor="text1"/>
                <w:sz w:val="32"/>
                <w:szCs w:val="32"/>
                <w14:textFill>
                  <w14:solidFill>
                    <w14:schemeClr w14:val="tx1"/>
                  </w14:solidFill>
                </w14:textFill>
              </w:rPr>
              <w:t>对本项目需求的了解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w:t>
            </w:r>
          </w:p>
        </w:tc>
        <w:tc>
          <w:tcPr>
            <w:tcW w:w="2808"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横向对比各</w:t>
            </w:r>
            <w:r>
              <w:rPr>
                <w:rFonts w:hint="eastAsia" w:ascii="仿宋_GB2312" w:hAnsi="仿宋_GB2312" w:eastAsia="仿宋_GB2312" w:cs="仿宋_GB2312"/>
                <w:color w:val="000000" w:themeColor="text1"/>
                <w:sz w:val="32"/>
                <w:szCs w:val="32"/>
                <w:lang w:eastAsia="zh-CN"/>
                <w14:textFill>
                  <w14:solidFill>
                    <w14:schemeClr w14:val="tx1"/>
                  </w14:solidFill>
                </w14:textFill>
              </w:rPr>
              <w:t>报价单位</w:t>
            </w:r>
            <w:r>
              <w:rPr>
                <w:rFonts w:hint="eastAsia" w:ascii="仿宋_GB2312" w:hAnsi="仿宋_GB2312" w:eastAsia="仿宋_GB2312" w:cs="仿宋_GB2312"/>
                <w:color w:val="000000" w:themeColor="text1"/>
                <w:sz w:val="32"/>
                <w:szCs w:val="32"/>
                <w14:textFill>
                  <w14:solidFill>
                    <w14:schemeClr w14:val="tx1"/>
                  </w14:solidFill>
                </w14:textFill>
              </w:rPr>
              <w:t>对服务群体的需求性评估和分析，优</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分，良</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分，中</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分，差</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pPr>
          </w:p>
        </w:tc>
        <w:tc>
          <w:tcPr>
            <w:tcW w:w="1333"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服务提供方案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w:t>
            </w:r>
          </w:p>
        </w:tc>
        <w:tc>
          <w:tcPr>
            <w:tcW w:w="2808"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横向对比各</w:t>
            </w:r>
            <w:r>
              <w:rPr>
                <w:rFonts w:hint="eastAsia" w:ascii="仿宋_GB2312" w:hAnsi="仿宋_GB2312" w:eastAsia="仿宋_GB2312" w:cs="仿宋_GB2312"/>
                <w:color w:val="000000" w:themeColor="text1"/>
                <w:sz w:val="32"/>
                <w:szCs w:val="32"/>
                <w:lang w:eastAsia="zh-CN"/>
                <w14:textFill>
                  <w14:solidFill>
                    <w14:schemeClr w14:val="tx1"/>
                  </w14:solidFill>
                </w14:textFill>
              </w:rPr>
              <w:t>报价单位</w:t>
            </w:r>
            <w:r>
              <w:rPr>
                <w:rFonts w:hint="eastAsia" w:ascii="仿宋_GB2312" w:hAnsi="仿宋_GB2312" w:eastAsia="仿宋_GB2312" w:cs="仿宋_GB2312"/>
                <w:color w:val="000000" w:themeColor="text1"/>
                <w:sz w:val="32"/>
                <w:szCs w:val="32"/>
                <w14:textFill>
                  <w14:solidFill>
                    <w14:schemeClr w14:val="tx1"/>
                  </w14:solidFill>
                </w14:textFill>
              </w:rPr>
              <w:t>的服务计划方案，优</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分，良</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分，中</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分，差</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pPr>
          </w:p>
        </w:tc>
        <w:tc>
          <w:tcPr>
            <w:tcW w:w="1333"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质量保障措施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w:t>
            </w:r>
          </w:p>
        </w:tc>
        <w:tc>
          <w:tcPr>
            <w:tcW w:w="2808"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横向对比各</w:t>
            </w:r>
            <w:r>
              <w:rPr>
                <w:rFonts w:hint="eastAsia" w:ascii="仿宋_GB2312" w:hAnsi="仿宋_GB2312" w:eastAsia="仿宋_GB2312" w:cs="仿宋_GB2312"/>
                <w:color w:val="000000" w:themeColor="text1"/>
                <w:sz w:val="32"/>
                <w:szCs w:val="32"/>
                <w:lang w:eastAsia="zh-CN"/>
                <w14:textFill>
                  <w14:solidFill>
                    <w14:schemeClr w14:val="tx1"/>
                  </w14:solidFill>
                </w14:textFill>
              </w:rPr>
              <w:t>报价单位</w:t>
            </w:r>
            <w:r>
              <w:rPr>
                <w:rFonts w:hint="eastAsia" w:ascii="仿宋_GB2312" w:hAnsi="仿宋_GB2312" w:eastAsia="仿宋_GB2312" w:cs="仿宋_GB2312"/>
                <w:color w:val="000000" w:themeColor="text1"/>
                <w:sz w:val="32"/>
                <w:szCs w:val="32"/>
                <w14:textFill>
                  <w14:solidFill>
                    <w14:schemeClr w14:val="tx1"/>
                  </w14:solidFill>
                </w14:textFill>
              </w:rPr>
              <w:t>的服务质量保障措施，优</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分，良</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分，中</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分，差</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firstLine="0"/>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价格合理性评分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黑体" w:hAnsi="黑体" w:eastAsia="黑体" w:cs="黑体"/>
                <w:b w:val="0"/>
                <w:bCs/>
                <w:color w:val="000000" w:themeColor="text1"/>
                <w:sz w:val="32"/>
                <w:szCs w:val="32"/>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10</w:t>
            </w:r>
            <w:r>
              <w:rPr>
                <w:rFonts w:hint="eastAsia" w:ascii="黑体" w:hAnsi="黑体" w:eastAsia="黑体" w:cs="黑体"/>
                <w:color w:val="000000" w:themeColor="text1"/>
                <w:sz w:val="32"/>
                <w:szCs w:val="32"/>
                <w14:textFill>
                  <w14:solidFill>
                    <w14:schemeClr w14:val="tx1"/>
                  </w14:solidFill>
                </w14:textFill>
              </w:rPr>
              <w:t>分</w:t>
            </w:r>
            <w:r>
              <w:rPr>
                <w:rFonts w:hint="eastAsia" w:ascii="黑体" w:hAnsi="黑体" w:eastAsia="黑体" w:cs="黑体"/>
                <w:color w:val="000000" w:themeColor="text1"/>
                <w:sz w:val="32"/>
                <w:szCs w:val="32"/>
                <w:lang w:eastAsia="zh-CN"/>
                <w14:textFill>
                  <w14:solidFill>
                    <w14:schemeClr w14:val="tx1"/>
                  </w14:solidFill>
                </w14:textFill>
              </w:rPr>
              <w:t>）</w:t>
            </w:r>
          </w:p>
        </w:tc>
        <w:tc>
          <w:tcPr>
            <w:tcW w:w="1333"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报价合理性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tc>
        <w:tc>
          <w:tcPr>
            <w:tcW w:w="2808" w:type="pc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计算价格评分</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各有效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报价单位</w:t>
            </w:r>
            <w:r>
              <w:rPr>
                <w:rFonts w:hint="eastAsia" w:ascii="仿宋_GB2312" w:hAnsi="仿宋_GB2312" w:eastAsia="仿宋_GB2312" w:cs="仿宋_GB2312"/>
                <w:color w:val="000000" w:themeColor="text1"/>
                <w:sz w:val="32"/>
                <w:szCs w:val="32"/>
                <w14:textFill>
                  <w14:solidFill>
                    <w14:schemeClr w14:val="tx1"/>
                  </w14:solidFill>
                </w14:textFill>
              </w:rPr>
              <w:t>的报价中（校对修正后的报价为评审</w:t>
            </w:r>
            <w:r>
              <w:rPr>
                <w:rFonts w:hint="eastAsia" w:ascii="仿宋_GB2312" w:hAnsi="仿宋_GB2312" w:eastAsia="仿宋_GB2312" w:cs="仿宋_GB2312"/>
                <w:color w:val="000000" w:themeColor="text1"/>
                <w:sz w:val="32"/>
                <w:szCs w:val="32"/>
                <w:lang w:eastAsia="zh-CN"/>
                <w14:textFill>
                  <w14:solidFill>
                    <w14:schemeClr w14:val="tx1"/>
                  </w14:solidFill>
                </w14:textFill>
              </w:rPr>
              <w:t>价</w:t>
            </w:r>
            <w:r>
              <w:rPr>
                <w:rFonts w:hint="eastAsia" w:ascii="仿宋_GB2312" w:hAnsi="仿宋_GB2312" w:eastAsia="仿宋_GB2312" w:cs="仿宋_GB2312"/>
                <w:color w:val="000000" w:themeColor="text1"/>
                <w:sz w:val="32"/>
                <w:szCs w:val="32"/>
                <w14:textFill>
                  <w14:solidFill>
                    <w14:schemeClr w14:val="tx1"/>
                  </w14:solidFill>
                </w14:textFill>
              </w:rPr>
              <w:t>），取最低者作为基准价，价格评分=（基准价</w:t>
            </w:r>
            <w:r>
              <w:rPr>
                <w:rFonts w:hint="default"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评审价）</w:t>
            </w:r>
            <w:r>
              <w:rPr>
                <w:rFonts w:hint="default"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报价单位报价高于最高限价或低于最高限价</w:t>
            </w:r>
            <w:r>
              <w:rPr>
                <w:rFonts w:hint="eastAsia" w:ascii="Times New Roman" w:hAnsi="Times New Roman" w:eastAsia="黑体" w:cs="Times New Roman"/>
                <w:b w:val="0"/>
                <w:bCs w:val="0"/>
                <w:color w:val="000000" w:themeColor="text1"/>
                <w:kern w:val="0"/>
                <w:sz w:val="32"/>
                <w:szCs w:val="32"/>
                <w:lang w:val="en-US" w:eastAsia="zh-CN" w:bidi="ar-SA"/>
                <w14:textFill>
                  <w14:solidFill>
                    <w14:schemeClr w14:val="tx1"/>
                  </w14:solidFill>
                </w14:textFill>
              </w:rPr>
              <w:t>45%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，直接取消评审资格。</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sectPr>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E81F70"/>
    <w:rsid w:val="07E73DCE"/>
    <w:rsid w:val="0F3558BF"/>
    <w:rsid w:val="1DB0502B"/>
    <w:rsid w:val="1E312D50"/>
    <w:rsid w:val="340C6571"/>
    <w:rsid w:val="477F6F1A"/>
    <w:rsid w:val="5AE81F70"/>
    <w:rsid w:val="65901D4A"/>
    <w:rsid w:val="6602544E"/>
    <w:rsid w:val="6EA31990"/>
    <w:rsid w:val="79C06159"/>
    <w:rsid w:val="7BAD6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0"/>
    <w:pPr>
      <w:jc w:val="left"/>
    </w:pPr>
    <w:rPr>
      <w:rFonts w:ascii="Arial" w:hAnsi="Arial" w:eastAsia="宋体"/>
      <w:color w:val="333333"/>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2723</Words>
  <Characters>2899</Characters>
  <Lines>0</Lines>
  <Paragraphs>0</Paragraphs>
  <TotalTime>29</TotalTime>
  <ScaleCrop>false</ScaleCrop>
  <LinksUpToDate>false</LinksUpToDate>
  <CharactersWithSpaces>2899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2025-03-11T01:23:00Z</dcterms:created>
  <dc:creator>ManUnt11</dc:creator>
  <cp:lastModifiedBy>越秀区民政收发员</cp:lastModifiedBy>
  <dcterms:modified xsi:type="dcterms:W3CDTF">2025-03-21T02:02:04Z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54990AE88FE74B2D8D7F240415EFF4E0_11</vt:lpwstr>
  </property>
  <property fmtid="{D5CDD505-2E9C-101B-9397-08002B2CF9AE}" pid="4" name="KSOTemplateDocerSaveRecord">
    <vt:lpwstr>eyJoZGlkIjoiYjAzY2E2ZDU4ZWNkMzU2YTk4MmU3OTYzNzkyNWNlNWYiLCJ1c2VySWQiOiIyMzYzNjE1NjUifQ==</vt:lpwstr>
  </property>
</Properties>
</file>