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wordWrap w:val="0"/>
        <w:adjustRightInd w:val="0"/>
        <w:spacing w:line="560" w:lineRule="exact"/>
        <w:jc w:val="left"/>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附件 2</w:t>
      </w:r>
    </w:p>
    <w:p>
      <w:pPr>
        <w:shd w:val="clear"/>
        <w:spacing w:line="240" w:lineRule="auto"/>
        <w:jc w:val="center"/>
        <w:rPr>
          <w:rFonts w:hint="default" w:ascii="方正小标宋简体" w:hAnsi="方正小标宋简体" w:eastAsia="方正小标宋简体" w:cs="方正小标宋简体"/>
          <w:bCs/>
          <w:color w:val="auto"/>
          <w:kern w:val="0"/>
          <w:sz w:val="44"/>
          <w:szCs w:val="44"/>
          <w:highlight w:val="none"/>
          <w:lang w:val="en-US" w:eastAsia="zh-CN"/>
        </w:rPr>
      </w:pPr>
      <w:r>
        <w:rPr>
          <w:rFonts w:hint="eastAsia" w:ascii="方正小标宋简体" w:hAnsi="方正小标宋简体" w:eastAsia="方正小标宋简体" w:cs="方正小标宋简体"/>
          <w:bCs/>
          <w:color w:val="auto"/>
          <w:kern w:val="0"/>
          <w:sz w:val="44"/>
          <w:szCs w:val="44"/>
          <w:highlight w:val="none"/>
          <w:lang w:val="en-US" w:eastAsia="zh-CN"/>
        </w:rPr>
        <w:t>评分说明和评分标准</w:t>
      </w:r>
    </w:p>
    <w:p>
      <w:pPr>
        <w:shd w:val="clear"/>
        <w:spacing w:line="240" w:lineRule="auto"/>
        <w:jc w:val="center"/>
        <w:rPr>
          <w:rFonts w:ascii="宋体" w:hAnsi="宋体"/>
          <w:b/>
          <w:color w:val="auto"/>
          <w:kern w:val="0"/>
          <w:sz w:val="28"/>
          <w:szCs w:val="28"/>
          <w:highlight w:val="none"/>
        </w:rPr>
      </w:pPr>
      <w:r>
        <w:rPr>
          <w:rFonts w:hint="eastAsia" w:ascii="方正小标宋简体" w:hAnsi="方正小标宋简体" w:eastAsia="方正小标宋简体" w:cs="方正小标宋简体"/>
          <w:bCs/>
          <w:color w:val="auto"/>
          <w:kern w:val="0"/>
          <w:sz w:val="44"/>
          <w:szCs w:val="44"/>
          <w:highlight w:val="none"/>
        </w:rPr>
        <w:t>评分说明</w:t>
      </w:r>
    </w:p>
    <w:p>
      <w:pPr>
        <w:pStyle w:val="2"/>
        <w:shd w:val="clear"/>
        <w:adjustRightInd w:val="0"/>
        <w:snapToGrid w:val="0"/>
        <w:spacing w:line="360" w:lineRule="auto"/>
        <w:ind w:left="1290" w:leftChars="304" w:hanging="652" w:hangingChars="204"/>
        <w:rPr>
          <w:rFonts w:ascii="黑体" w:hAnsi="黑体" w:eastAsia="黑体" w:cs="FangSong_GB2312"/>
          <w:color w:val="auto"/>
          <w:sz w:val="32"/>
          <w:szCs w:val="32"/>
          <w:highlight w:val="none"/>
        </w:rPr>
      </w:pPr>
      <w:r>
        <w:rPr>
          <w:rFonts w:hint="eastAsia" w:ascii="黑体" w:hAnsi="黑体" w:eastAsia="黑体" w:cs="FangSong_GB2312"/>
          <w:color w:val="auto"/>
          <w:kern w:val="0"/>
          <w:sz w:val="32"/>
          <w:szCs w:val="32"/>
          <w:highlight w:val="none"/>
        </w:rPr>
        <w:t>一、</w:t>
      </w:r>
      <w:r>
        <w:rPr>
          <w:rFonts w:hint="eastAsia" w:ascii="黑体" w:hAnsi="黑体" w:eastAsia="黑体" w:cs="FangSong_GB2312"/>
          <w:color w:val="auto"/>
          <w:sz w:val="32"/>
          <w:szCs w:val="32"/>
          <w:highlight w:val="none"/>
        </w:rPr>
        <w:t>项目评审</w:t>
      </w:r>
    </w:p>
    <w:p>
      <w:pPr>
        <w:pStyle w:val="2"/>
        <w:shd w:val="clear"/>
        <w:adjustRightInd w:val="0"/>
        <w:snapToGrid w:val="0"/>
        <w:spacing w:line="360" w:lineRule="auto"/>
        <w:ind w:firstLine="640" w:firstLineChars="200"/>
        <w:rPr>
          <w:rFonts w:ascii="FangSong_GB2312" w:hAnsi="FangSong_GB2312" w:eastAsia="FangSong_GB2312" w:cs="FangSong_GB2312"/>
          <w:color w:val="auto"/>
          <w:sz w:val="32"/>
          <w:szCs w:val="32"/>
          <w:highlight w:val="none"/>
        </w:rPr>
      </w:pPr>
      <w:r>
        <w:rPr>
          <w:rFonts w:hint="eastAsia" w:ascii="楷体_GB2312" w:hAnsi="FangSong_GB2312" w:eastAsia="楷体_GB2312" w:cs="FangSong_GB2312"/>
          <w:color w:val="auto"/>
          <w:sz w:val="32"/>
          <w:szCs w:val="32"/>
          <w:highlight w:val="none"/>
        </w:rPr>
        <w:t>（一）评审总分满分为100分：</w:t>
      </w:r>
      <w:r>
        <w:rPr>
          <w:rFonts w:hint="eastAsia" w:ascii="FangSong_GB2312" w:hAnsi="FangSong_GB2312" w:eastAsia="FangSong_GB2312" w:cs="FangSong_GB2312"/>
          <w:color w:val="auto"/>
          <w:sz w:val="32"/>
          <w:szCs w:val="32"/>
          <w:highlight w:val="none"/>
        </w:rPr>
        <w:t xml:space="preserve">技术50分、商务30分、价格20分。 </w:t>
      </w:r>
    </w:p>
    <w:p>
      <w:pPr>
        <w:pStyle w:val="2"/>
        <w:shd w:val="clear"/>
        <w:adjustRightInd w:val="0"/>
        <w:snapToGrid w:val="0"/>
        <w:spacing w:line="360" w:lineRule="auto"/>
        <w:ind w:firstLine="640" w:firstLineChars="200"/>
        <w:rPr>
          <w:rFonts w:ascii="FangSong_GB2312" w:hAnsi="FangSong_GB2312" w:eastAsia="FangSong_GB2312" w:cs="FangSong_GB2312"/>
          <w:color w:val="auto"/>
          <w:sz w:val="32"/>
          <w:szCs w:val="32"/>
          <w:highlight w:val="none"/>
        </w:rPr>
      </w:pPr>
      <w:r>
        <w:rPr>
          <w:rFonts w:hint="eastAsia" w:ascii="FangSong_GB2312" w:hAnsi="FangSong_GB2312" w:eastAsia="FangSong_GB2312" w:cs="FangSong_GB2312"/>
          <w:color w:val="auto"/>
          <w:sz w:val="32"/>
          <w:szCs w:val="32"/>
          <w:highlight w:val="none"/>
        </w:rPr>
        <w:t>（二）技术、商务评审：由各评委根据《技术评审表》和《商务评审表》各自评分后，各评委评分的平均分即为机构该部分得分。</w:t>
      </w:r>
    </w:p>
    <w:p>
      <w:pPr>
        <w:pStyle w:val="2"/>
        <w:shd w:val="clear"/>
        <w:adjustRightInd w:val="0"/>
        <w:snapToGrid w:val="0"/>
        <w:spacing w:line="360" w:lineRule="auto"/>
        <w:ind w:firstLine="640" w:firstLineChars="200"/>
        <w:rPr>
          <w:rFonts w:ascii="FangSong_GB2312" w:hAnsi="FangSong_GB2312" w:eastAsia="FangSong_GB2312" w:cs="FangSong_GB2312"/>
          <w:color w:val="auto"/>
          <w:sz w:val="32"/>
          <w:szCs w:val="32"/>
          <w:highlight w:val="none"/>
        </w:rPr>
      </w:pPr>
      <w:r>
        <w:rPr>
          <w:rFonts w:hint="eastAsia" w:ascii="楷体_GB2312" w:hAnsi="FangSong_GB2312" w:eastAsia="楷体_GB2312" w:cs="FangSong_GB2312"/>
          <w:color w:val="auto"/>
          <w:sz w:val="32"/>
          <w:szCs w:val="32"/>
          <w:highlight w:val="none"/>
        </w:rPr>
        <w:t>（三）价格评审：</w:t>
      </w:r>
      <w:r>
        <w:rPr>
          <w:rFonts w:hint="eastAsia" w:ascii="FangSong_GB2312" w:hAnsi="FangSong_GB2312" w:eastAsia="FangSong_GB2312" w:cs="FangSong_GB2312"/>
          <w:color w:val="auto"/>
          <w:sz w:val="32"/>
          <w:szCs w:val="32"/>
          <w:highlight w:val="none"/>
        </w:rPr>
        <w:t>各机构中报价最小的价格为基准价格，各机构的价格得分=基准价格/机构报价×20。此评分由评委会根据《价格评分表》登记计算得分。</w:t>
      </w:r>
    </w:p>
    <w:p>
      <w:pPr>
        <w:pStyle w:val="2"/>
        <w:shd w:val="clear"/>
        <w:adjustRightInd w:val="0"/>
        <w:snapToGrid w:val="0"/>
        <w:spacing w:line="360" w:lineRule="auto"/>
        <w:ind w:firstLine="640" w:firstLineChars="200"/>
        <w:rPr>
          <w:rFonts w:ascii="FangSong_GB2312" w:hAnsi="FangSong_GB2312" w:eastAsia="FangSong_GB2312" w:cs="FangSong_GB2312"/>
          <w:color w:val="auto"/>
          <w:sz w:val="32"/>
          <w:szCs w:val="32"/>
          <w:highlight w:val="none"/>
        </w:rPr>
      </w:pPr>
      <w:r>
        <w:rPr>
          <w:rFonts w:hint="eastAsia" w:ascii="楷体_GB2312" w:hAnsi="FangSong_GB2312" w:eastAsia="楷体_GB2312" w:cs="FangSong_GB2312"/>
          <w:color w:val="auto"/>
          <w:sz w:val="32"/>
          <w:szCs w:val="32"/>
          <w:highlight w:val="none"/>
        </w:rPr>
        <w:t>（四）评分及统计：</w:t>
      </w:r>
      <w:r>
        <w:rPr>
          <w:rFonts w:hint="eastAsia" w:ascii="FangSong_GB2312" w:hAnsi="FangSong_GB2312" w:eastAsia="FangSong_GB2312" w:cs="FangSong_GB2312"/>
          <w:color w:val="auto"/>
          <w:sz w:val="32"/>
          <w:szCs w:val="32"/>
          <w:highlight w:val="none"/>
        </w:rPr>
        <w:t>对参选机构进行评分后，将技术、商务、价格得分相加得出评审总得分（评审总得分按四舍五入原则精确到小数点后两位）。</w:t>
      </w:r>
    </w:p>
    <w:p>
      <w:pPr>
        <w:pStyle w:val="2"/>
        <w:shd w:val="clear"/>
        <w:adjustRightInd w:val="0"/>
        <w:snapToGrid w:val="0"/>
        <w:spacing w:line="360" w:lineRule="auto"/>
        <w:ind w:left="1290" w:leftChars="304" w:hanging="652" w:hangingChars="204"/>
        <w:rPr>
          <w:rFonts w:ascii="黑体" w:hAnsi="黑体" w:eastAsia="黑体" w:cs="FangSong_GB2312"/>
          <w:color w:val="auto"/>
          <w:sz w:val="32"/>
          <w:szCs w:val="32"/>
          <w:highlight w:val="none"/>
        </w:rPr>
      </w:pPr>
      <w:r>
        <w:rPr>
          <w:rFonts w:hint="eastAsia" w:ascii="黑体" w:hAnsi="黑体" w:eastAsia="黑体" w:cs="FangSong_GB2312"/>
          <w:color w:val="auto"/>
          <w:sz w:val="32"/>
          <w:szCs w:val="32"/>
          <w:highlight w:val="none"/>
        </w:rPr>
        <w:t>二、推荐中选机构</w:t>
      </w:r>
    </w:p>
    <w:p>
      <w:pPr>
        <w:pStyle w:val="2"/>
        <w:shd w:val="clear"/>
        <w:adjustRightInd w:val="0"/>
        <w:snapToGrid w:val="0"/>
        <w:spacing w:line="360" w:lineRule="auto"/>
        <w:ind w:firstLine="640" w:firstLineChars="200"/>
        <w:rPr>
          <w:rFonts w:ascii="FangSong_GB2312" w:hAnsi="FangSong_GB2312" w:eastAsia="FangSong_GB2312" w:cs="FangSong_GB2312"/>
          <w:color w:val="auto"/>
          <w:sz w:val="32"/>
          <w:szCs w:val="32"/>
          <w:highlight w:val="none"/>
        </w:rPr>
      </w:pPr>
      <w:r>
        <w:rPr>
          <w:rFonts w:hint="eastAsia" w:ascii="楷体_GB2312" w:hAnsi="FangSong_GB2312" w:eastAsia="楷体_GB2312" w:cs="FangSong_GB2312"/>
          <w:color w:val="auto"/>
          <w:sz w:val="32"/>
          <w:szCs w:val="32"/>
          <w:highlight w:val="none"/>
        </w:rPr>
        <w:t>（一）推荐中选机构名单：</w:t>
      </w:r>
      <w:r>
        <w:rPr>
          <w:rFonts w:hint="eastAsia" w:ascii="FangSong_GB2312" w:hAnsi="FangSong_GB2312" w:eastAsia="FangSong_GB2312" w:cs="FangSong_GB2312"/>
          <w:color w:val="auto"/>
          <w:sz w:val="32"/>
          <w:szCs w:val="32"/>
          <w:highlight w:val="none"/>
        </w:rPr>
        <w:t>本项目推荐1名中选机构。将各有效参选机构按其评审总得分由高到低顺序排列，得分最高且大于60分的参选机构推荐为中选机构。总得分相同的，按下列得分顺序由高到低确定：1.价格；2.技术；3.商务。如以上都相同的，名次由评审委员会抽签确定。</w:t>
      </w:r>
    </w:p>
    <w:p>
      <w:pPr>
        <w:shd w:val="clear"/>
        <w:spacing w:line="360" w:lineRule="auto"/>
        <w:ind w:firstLine="640" w:firstLineChars="200"/>
        <w:jc w:val="left"/>
        <w:rPr>
          <w:rFonts w:hint="eastAsia" w:ascii="FangSong_GB2312" w:hAnsi="FangSong_GB2312" w:eastAsia="FangSong_GB2312" w:cs="FangSong_GB2312"/>
          <w:color w:val="auto"/>
          <w:sz w:val="32"/>
          <w:szCs w:val="32"/>
          <w:highlight w:val="none"/>
        </w:rPr>
      </w:pPr>
      <w:r>
        <w:rPr>
          <w:rFonts w:hint="eastAsia" w:ascii="楷体_GB2312" w:hAnsi="FangSong_GB2312" w:eastAsia="楷体_GB2312" w:cs="FangSong_GB2312"/>
          <w:color w:val="auto"/>
          <w:sz w:val="32"/>
          <w:szCs w:val="32"/>
          <w:highlight w:val="none"/>
        </w:rPr>
        <w:t>（二）确定中选机构：</w:t>
      </w:r>
      <w:r>
        <w:rPr>
          <w:rFonts w:hint="eastAsia" w:ascii="FangSong_GB2312" w:hAnsi="FangSong_GB2312" w:eastAsia="FangSong_GB2312" w:cs="FangSong_GB2312"/>
          <w:color w:val="auto"/>
          <w:sz w:val="32"/>
          <w:szCs w:val="32"/>
          <w:highlight w:val="none"/>
        </w:rPr>
        <w:t>根据评审委员会的评审结果，采购方</w:t>
      </w:r>
      <w:r>
        <w:rPr>
          <w:rFonts w:hint="eastAsia" w:ascii="FangSong_GB2312" w:hAnsi="FangSong_GB2312" w:eastAsia="FangSong_GB2312" w:cs="FangSong_GB2312"/>
          <w:color w:val="auto"/>
          <w:sz w:val="32"/>
          <w:szCs w:val="32"/>
          <w:highlight w:val="none"/>
          <w:lang w:eastAsia="zh-CN"/>
        </w:rPr>
        <w:t>依据</w:t>
      </w:r>
      <w:r>
        <w:rPr>
          <w:rFonts w:hint="eastAsia" w:ascii="FangSong_GB2312" w:hAnsi="FangSong_GB2312" w:eastAsia="FangSong_GB2312" w:cs="FangSong_GB2312"/>
          <w:color w:val="auto"/>
          <w:sz w:val="32"/>
          <w:szCs w:val="32"/>
          <w:highlight w:val="none"/>
        </w:rPr>
        <w:t>相关规定确定中选机构。</w:t>
      </w:r>
    </w:p>
    <w:p>
      <w:pPr>
        <w:shd w:val="clear"/>
        <w:spacing w:line="360" w:lineRule="auto"/>
        <w:ind w:firstLine="640" w:firstLineChars="200"/>
        <w:jc w:val="left"/>
        <w:rPr>
          <w:rFonts w:hint="eastAsia" w:ascii="FangSong_GB2312" w:hAnsi="FangSong_GB2312" w:eastAsia="FangSong_GB2312" w:cs="FangSong_GB2312"/>
          <w:color w:val="auto"/>
          <w:sz w:val="32"/>
          <w:szCs w:val="32"/>
          <w:highlight w:val="none"/>
        </w:rPr>
      </w:pPr>
    </w:p>
    <w:p>
      <w:pPr>
        <w:shd w:val="clear"/>
        <w:spacing w:line="360" w:lineRule="auto"/>
        <w:jc w:val="center"/>
        <w:rPr>
          <w:rFonts w:ascii="宋体" w:hAnsi="宋体"/>
          <w:b/>
          <w:color w:val="auto"/>
          <w:sz w:val="44"/>
          <w:szCs w:val="44"/>
          <w:highlight w:val="none"/>
        </w:rPr>
      </w:pPr>
      <w:bookmarkStart w:id="0" w:name="_Toc223856295"/>
      <w:bookmarkStart w:id="1" w:name="_Toc383780136"/>
      <w:bookmarkStart w:id="2" w:name="_Toc204664426"/>
      <w:bookmarkStart w:id="3" w:name="_Toc278274486"/>
      <w:bookmarkStart w:id="4" w:name="_Toc278794807"/>
      <w:bookmarkStart w:id="5" w:name="_Toc385946401"/>
      <w:r>
        <w:rPr>
          <w:rFonts w:hint="eastAsia" w:ascii="方正小标宋简体" w:hAnsi="方正小标宋简体" w:eastAsia="方正小标宋简体" w:cs="方正小标宋简体"/>
          <w:bCs/>
          <w:color w:val="auto"/>
          <w:sz w:val="44"/>
          <w:szCs w:val="44"/>
          <w:highlight w:val="none"/>
        </w:rPr>
        <w:t>评分标准</w:t>
      </w:r>
    </w:p>
    <w:tbl>
      <w:tblPr>
        <w:tblStyle w:val="3"/>
        <w:tblW w:w="93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108" w:type="dxa"/>
          <w:bottom w:w="28" w:type="dxa"/>
          <w:right w:w="108" w:type="dxa"/>
        </w:tblCellMar>
      </w:tblPr>
      <w:tblGrid>
        <w:gridCol w:w="1361"/>
        <w:gridCol w:w="5708"/>
        <w:gridCol w:w="1180"/>
        <w:gridCol w:w="450"/>
        <w:gridCol w:w="438"/>
        <w:gridCol w:w="2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506" w:hRule="exact"/>
          <w:tblHeader/>
          <w:jc w:val="center"/>
        </w:trPr>
        <w:tc>
          <w:tcPr>
            <w:tcW w:w="1361" w:type="dxa"/>
            <w:tcBorders>
              <w:top w:val="single" w:color="auto" w:sz="12" w:space="0"/>
              <w:bottom w:val="single" w:color="auto" w:sz="6" w:space="0"/>
            </w:tcBorders>
            <w:shd w:val="clear" w:color="auto" w:fill="E0E0E0"/>
            <w:noWrap w:val="0"/>
            <w:vAlign w:val="center"/>
          </w:tcPr>
          <w:p>
            <w:pPr>
              <w:shd w:val="clear"/>
              <w:snapToGrid w:val="0"/>
              <w:jc w:val="center"/>
              <w:rPr>
                <w:rFonts w:ascii="宋体" w:hAnsi="宋体" w:cs="宋体"/>
                <w:b/>
                <w:color w:val="auto"/>
                <w:sz w:val="24"/>
                <w:highlight w:val="none"/>
              </w:rPr>
            </w:pPr>
            <w:r>
              <w:rPr>
                <w:rFonts w:hint="eastAsia" w:ascii="宋体" w:hAnsi="宋体" w:cs="宋体"/>
                <w:b/>
                <w:color w:val="auto"/>
                <w:sz w:val="24"/>
                <w:highlight w:val="none"/>
              </w:rPr>
              <w:t>评审项目</w:t>
            </w:r>
          </w:p>
        </w:tc>
        <w:tc>
          <w:tcPr>
            <w:tcW w:w="5708" w:type="dxa"/>
            <w:tcBorders>
              <w:top w:val="single" w:color="auto" w:sz="12" w:space="0"/>
              <w:bottom w:val="single" w:color="auto" w:sz="6" w:space="0"/>
            </w:tcBorders>
            <w:shd w:val="clear" w:color="auto" w:fill="E0E0E0"/>
            <w:noWrap w:val="0"/>
            <w:vAlign w:val="center"/>
          </w:tcPr>
          <w:p>
            <w:pPr>
              <w:shd w:val="clear"/>
              <w:snapToGrid w:val="0"/>
              <w:jc w:val="center"/>
              <w:rPr>
                <w:rFonts w:ascii="宋体" w:hAnsi="宋体" w:cs="宋体"/>
                <w:b/>
                <w:color w:val="auto"/>
                <w:sz w:val="24"/>
                <w:highlight w:val="none"/>
              </w:rPr>
            </w:pPr>
            <w:r>
              <w:rPr>
                <w:rFonts w:hint="eastAsia" w:ascii="宋体" w:hAnsi="宋体" w:cs="宋体"/>
                <w:b/>
                <w:color w:val="auto"/>
                <w:sz w:val="24"/>
                <w:highlight w:val="none"/>
              </w:rPr>
              <w:t>评分标准</w:t>
            </w:r>
          </w:p>
        </w:tc>
        <w:tc>
          <w:tcPr>
            <w:tcW w:w="1180" w:type="dxa"/>
            <w:tcBorders>
              <w:top w:val="single" w:color="auto" w:sz="12" w:space="0"/>
              <w:bottom w:val="single" w:color="auto" w:sz="6" w:space="0"/>
            </w:tcBorders>
            <w:shd w:val="clear" w:color="auto" w:fill="E0E0E0"/>
            <w:noWrap w:val="0"/>
            <w:vAlign w:val="center"/>
          </w:tcPr>
          <w:p>
            <w:pPr>
              <w:widowControl/>
              <w:shd w:val="clear"/>
              <w:snapToGrid w:val="0"/>
              <w:jc w:val="center"/>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lang w:val="en-US" w:eastAsia="zh-CN"/>
              </w:rPr>
              <w:t>供应商</w:t>
            </w:r>
          </w:p>
        </w:tc>
        <w:tc>
          <w:tcPr>
            <w:tcW w:w="450" w:type="dxa"/>
            <w:tcBorders>
              <w:top w:val="single" w:color="auto" w:sz="12" w:space="0"/>
              <w:bottom w:val="single" w:color="auto" w:sz="6" w:space="0"/>
            </w:tcBorders>
            <w:shd w:val="clear" w:color="auto" w:fill="E0E0E0"/>
            <w:noWrap w:val="0"/>
            <w:vAlign w:val="center"/>
          </w:tcPr>
          <w:p>
            <w:pPr>
              <w:widowControl/>
              <w:shd w:val="clear"/>
              <w:jc w:val="left"/>
              <w:textAlignment w:val="center"/>
              <w:rPr>
                <w:rFonts w:ascii="宋体" w:hAnsi="宋体"/>
                <w:b/>
                <w:color w:val="auto"/>
                <w:sz w:val="13"/>
                <w:szCs w:val="13"/>
                <w:highlight w:val="none"/>
              </w:rPr>
            </w:pPr>
          </w:p>
        </w:tc>
        <w:tc>
          <w:tcPr>
            <w:tcW w:w="438" w:type="dxa"/>
            <w:tcBorders>
              <w:top w:val="single" w:color="auto" w:sz="12" w:space="0"/>
              <w:bottom w:val="single" w:color="auto" w:sz="6" w:space="0"/>
            </w:tcBorders>
            <w:shd w:val="clear" w:color="auto" w:fill="E0E0E0"/>
            <w:noWrap w:val="0"/>
            <w:vAlign w:val="center"/>
          </w:tcPr>
          <w:p>
            <w:pPr>
              <w:widowControl/>
              <w:shd w:val="clear"/>
              <w:jc w:val="left"/>
              <w:textAlignment w:val="center"/>
              <w:rPr>
                <w:rFonts w:ascii="宋体" w:hAnsi="宋体"/>
                <w:b/>
                <w:color w:val="auto"/>
                <w:sz w:val="13"/>
                <w:szCs w:val="13"/>
                <w:highlight w:val="none"/>
              </w:rPr>
            </w:pPr>
          </w:p>
        </w:tc>
        <w:tc>
          <w:tcPr>
            <w:tcW w:w="240" w:type="dxa"/>
            <w:tcBorders>
              <w:top w:val="single" w:color="auto" w:sz="12" w:space="0"/>
              <w:bottom w:val="single" w:color="auto" w:sz="6" w:space="0"/>
            </w:tcBorders>
            <w:shd w:val="clear" w:color="auto" w:fill="E0E0E0"/>
            <w:noWrap w:val="0"/>
            <w:vAlign w:val="center"/>
          </w:tcPr>
          <w:p>
            <w:pPr>
              <w:widowControl/>
              <w:shd w:val="clear"/>
              <w:jc w:val="left"/>
              <w:textAlignment w:val="center"/>
              <w:rPr>
                <w:rFonts w:ascii="宋体" w:hAnsi="宋体"/>
                <w:b/>
                <w:color w:val="auto"/>
                <w:sz w:val="13"/>
                <w:szCs w:val="13"/>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419" w:hRule="atLeast"/>
          <w:jc w:val="center"/>
        </w:trPr>
        <w:tc>
          <w:tcPr>
            <w:tcW w:w="9377" w:type="dxa"/>
            <w:gridSpan w:val="6"/>
            <w:noWrap w:val="0"/>
            <w:vAlign w:val="center"/>
          </w:tcPr>
          <w:p>
            <w:pPr>
              <w:shd w:val="clear"/>
              <w:snapToGrid w:val="0"/>
              <w:spacing w:line="300" w:lineRule="auto"/>
              <w:ind w:left="210" w:leftChars="100"/>
              <w:jc w:val="center"/>
              <w:rPr>
                <w:rFonts w:ascii="宋体" w:hAnsi="宋体"/>
                <w:color w:val="auto"/>
                <w:kern w:val="0"/>
                <w:szCs w:val="21"/>
                <w:highlight w:val="none"/>
              </w:rPr>
            </w:pPr>
            <w:r>
              <w:rPr>
                <w:rFonts w:hint="eastAsia" w:ascii="宋体" w:hAnsi="宋体"/>
                <w:color w:val="auto"/>
                <w:kern w:val="0"/>
                <w:szCs w:val="21"/>
                <w:highlight w:val="none"/>
              </w:rPr>
              <w:t>技术评分 50分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1649" w:hRule="atLeast"/>
          <w:jc w:val="center"/>
        </w:trPr>
        <w:tc>
          <w:tcPr>
            <w:tcW w:w="1361" w:type="dxa"/>
            <w:noWrap w:val="0"/>
            <w:vAlign w:val="center"/>
          </w:tcPr>
          <w:p>
            <w:pPr>
              <w:pStyle w:val="6"/>
              <w:shd w:val="clear"/>
              <w:rPr>
                <w:rFonts w:hint="default"/>
                <w:color w:val="auto"/>
                <w:highlight w:val="none"/>
                <w:lang w:eastAsia="zh-CN"/>
              </w:rPr>
            </w:pPr>
            <w:r>
              <w:rPr>
                <w:color w:val="auto"/>
                <w:highlight w:val="none"/>
                <w:lang w:eastAsia="zh-CN"/>
              </w:rPr>
              <w:t>整体服务方案评审</w:t>
            </w:r>
            <w:r>
              <w:rPr>
                <w:rFonts w:hint="eastAsia"/>
                <w:color w:val="auto"/>
                <w:highlight w:val="none"/>
                <w:lang w:eastAsia="zh-CN"/>
              </w:rPr>
              <w:t>（</w:t>
            </w:r>
            <w:r>
              <w:rPr>
                <w:color w:val="auto"/>
                <w:highlight w:val="none"/>
              </w:rPr>
              <w:t>10分</w:t>
            </w:r>
            <w:r>
              <w:rPr>
                <w:rFonts w:hint="eastAsia"/>
                <w:color w:val="auto"/>
                <w:highlight w:val="none"/>
                <w:lang w:eastAsia="zh-CN"/>
              </w:rPr>
              <w:t>）</w:t>
            </w:r>
          </w:p>
        </w:tc>
        <w:tc>
          <w:tcPr>
            <w:tcW w:w="5708" w:type="dxa"/>
            <w:noWrap w:val="0"/>
            <w:vAlign w:val="center"/>
          </w:tcPr>
          <w:p>
            <w:pPr>
              <w:pStyle w:val="6"/>
              <w:shd w:val="clear"/>
              <w:rPr>
                <w:rFonts w:hint="default" w:eastAsia="宋体"/>
                <w:color w:val="auto"/>
                <w:highlight w:val="none"/>
                <w:lang w:val="en-US" w:eastAsia="zh-CN"/>
              </w:rPr>
            </w:pPr>
            <w:r>
              <w:rPr>
                <w:rFonts w:hint="eastAsia"/>
                <w:color w:val="auto"/>
                <w:highlight w:val="none"/>
                <w:lang w:val="en-US" w:eastAsia="zh-CN"/>
              </w:rPr>
              <w:t>整体服务方案应包含：1、项目设立情况（人员、设备、管理模式等）；2、项目需求、重点、难点分析及应对措施；3、消防和视频监控中心值班方案；4、安全巡查方案</w:t>
            </w:r>
            <w:r>
              <w:rPr>
                <w:rFonts w:hint="eastAsia" w:eastAsia="宋体" w:cs="Times New Roman"/>
                <w:color w:val="auto"/>
                <w:highlight w:val="none"/>
                <w:lang w:val="en-US" w:eastAsia="zh-CN"/>
              </w:rPr>
              <w:t>；5、消防和监控设施日常维护、操作方案；6、组成志愿消防队方案；7、</w:t>
            </w:r>
            <w:r>
              <w:rPr>
                <w:rFonts w:hint="eastAsia" w:ascii="Calibri" w:hAnsi="Calibri" w:eastAsia="宋体" w:cs="Times New Roman"/>
                <w:bCs w:val="0"/>
                <w:color w:val="auto"/>
                <w:sz w:val="20"/>
                <w:szCs w:val="20"/>
                <w:highlight w:val="none"/>
                <w:lang w:eastAsia="zh-CN"/>
              </w:rPr>
              <w:t>培训演练；</w:t>
            </w:r>
            <w:r>
              <w:rPr>
                <w:rFonts w:hint="eastAsia" w:ascii="Calibri" w:hAnsi="Calibri" w:eastAsia="宋体" w:cs="Times New Roman"/>
                <w:bCs w:val="0"/>
                <w:color w:val="auto"/>
                <w:sz w:val="20"/>
                <w:szCs w:val="20"/>
                <w:highlight w:val="none"/>
                <w:lang w:val="en-US" w:eastAsia="zh-CN"/>
              </w:rPr>
              <w:t>8、应急方案；9、制度、资料、台账管理方案；10、服务反馈和改善方案。</w:t>
            </w:r>
            <w:r>
              <w:rPr>
                <w:rFonts w:hint="eastAsia" w:eastAsia="宋体" w:cs="Times New Roman"/>
                <w:bCs w:val="0"/>
                <w:color w:val="auto"/>
                <w:sz w:val="20"/>
                <w:szCs w:val="20"/>
                <w:highlight w:val="none"/>
                <w:lang w:val="en-US" w:eastAsia="zh-CN"/>
              </w:rPr>
              <w:t>以上方案内容，每提供一项得1分</w:t>
            </w:r>
            <w:r>
              <w:rPr>
                <w:color w:val="auto"/>
                <w:highlight w:val="none"/>
              </w:rPr>
              <w:t>。</w:t>
            </w:r>
          </w:p>
        </w:tc>
        <w:tc>
          <w:tcPr>
            <w:tcW w:w="1180" w:type="dxa"/>
            <w:noWrap w:val="0"/>
            <w:vAlign w:val="center"/>
          </w:tcPr>
          <w:p>
            <w:pPr>
              <w:shd w:val="clear"/>
              <w:snapToGrid w:val="0"/>
              <w:spacing w:line="280" w:lineRule="exact"/>
              <w:jc w:val="center"/>
              <w:rPr>
                <w:rFonts w:hint="eastAsia" w:ascii="宋体" w:hAnsi="宋体" w:cs="宋体"/>
                <w:color w:val="auto"/>
                <w:kern w:val="0"/>
                <w:sz w:val="24"/>
                <w:highlight w:val="none"/>
              </w:rPr>
            </w:pPr>
          </w:p>
        </w:tc>
        <w:tc>
          <w:tcPr>
            <w:tcW w:w="450"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c>
          <w:tcPr>
            <w:tcW w:w="438"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c>
          <w:tcPr>
            <w:tcW w:w="240"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2330" w:hRule="atLeast"/>
          <w:jc w:val="center"/>
        </w:trPr>
        <w:tc>
          <w:tcPr>
            <w:tcW w:w="1361" w:type="dxa"/>
            <w:noWrap w:val="0"/>
            <w:vAlign w:val="center"/>
          </w:tcPr>
          <w:p>
            <w:pPr>
              <w:pStyle w:val="6"/>
              <w:shd w:val="clear"/>
              <w:rPr>
                <w:rFonts w:hint="default"/>
                <w:color w:val="auto"/>
                <w:highlight w:val="none"/>
                <w:lang w:eastAsia="zh-CN"/>
              </w:rPr>
            </w:pPr>
            <w:r>
              <w:rPr>
                <w:color w:val="auto"/>
                <w:highlight w:val="none"/>
                <w:lang w:eastAsia="zh-CN"/>
              </w:rPr>
              <w:t>巡查</w:t>
            </w:r>
            <w:r>
              <w:rPr>
                <w:color w:val="auto"/>
                <w:highlight w:val="none"/>
              </w:rPr>
              <w:t xml:space="preserve">实施方案 </w:t>
            </w:r>
            <w:r>
              <w:rPr>
                <w:rFonts w:hint="eastAsia"/>
                <w:color w:val="auto"/>
                <w:highlight w:val="none"/>
                <w:lang w:eastAsia="zh-CN"/>
              </w:rPr>
              <w:t>（</w:t>
            </w:r>
            <w:r>
              <w:rPr>
                <w:rFonts w:hint="eastAsia"/>
                <w:color w:val="auto"/>
                <w:highlight w:val="none"/>
                <w:lang w:val="en-US" w:eastAsia="zh-CN"/>
              </w:rPr>
              <w:t>10</w:t>
            </w:r>
            <w:r>
              <w:rPr>
                <w:color w:val="auto"/>
                <w:highlight w:val="none"/>
              </w:rPr>
              <w:t>分</w:t>
            </w:r>
            <w:r>
              <w:rPr>
                <w:rFonts w:hint="eastAsia"/>
                <w:color w:val="auto"/>
                <w:highlight w:val="none"/>
                <w:lang w:eastAsia="zh-CN"/>
              </w:rPr>
              <w:t>）</w:t>
            </w:r>
          </w:p>
        </w:tc>
        <w:tc>
          <w:tcPr>
            <w:tcW w:w="5708" w:type="dxa"/>
            <w:noWrap w:val="0"/>
            <w:vAlign w:val="center"/>
          </w:tcPr>
          <w:p>
            <w:pPr>
              <w:pStyle w:val="6"/>
              <w:numPr>
                <w:ilvl w:val="0"/>
                <w:numId w:val="1"/>
              </w:numPr>
              <w:shd w:val="clear"/>
              <w:rPr>
                <w:color w:val="auto"/>
                <w:highlight w:val="none"/>
              </w:rPr>
            </w:pPr>
            <w:r>
              <w:rPr>
                <w:rFonts w:hint="eastAsia"/>
                <w:color w:val="auto"/>
                <w:highlight w:val="none"/>
                <w:lang w:val="en-US" w:eastAsia="zh-CN"/>
              </w:rPr>
              <w:t>方案至少应包含：人员和排班计划、巡查路线、操作实施规程、应急方案、交接班记录和流程。</w:t>
            </w:r>
            <w:r>
              <w:rPr>
                <w:rFonts w:hint="eastAsia" w:eastAsia="宋体" w:cs="Times New Roman"/>
                <w:bCs w:val="0"/>
                <w:color w:val="auto"/>
                <w:sz w:val="20"/>
                <w:szCs w:val="20"/>
                <w:highlight w:val="none"/>
                <w:lang w:val="en-US" w:eastAsia="zh-CN"/>
              </w:rPr>
              <w:t>以上方案内容，每提供一项得1分</w:t>
            </w:r>
            <w:r>
              <w:rPr>
                <w:color w:val="auto"/>
                <w:highlight w:val="none"/>
              </w:rPr>
              <w:t>。</w:t>
            </w:r>
          </w:p>
          <w:p>
            <w:pPr>
              <w:pStyle w:val="6"/>
              <w:numPr>
                <w:ilvl w:val="0"/>
                <w:numId w:val="1"/>
              </w:numPr>
              <w:shd w:val="clear"/>
              <w:rPr>
                <w:rFonts w:hint="default"/>
                <w:color w:val="auto"/>
                <w:highlight w:val="none"/>
                <w:lang w:eastAsia="zh-CN"/>
              </w:rPr>
            </w:pPr>
            <w:r>
              <w:rPr>
                <w:rFonts w:hint="eastAsia"/>
                <w:color w:val="auto"/>
                <w:highlight w:val="none"/>
                <w:lang w:val="en-US" w:eastAsia="zh-CN"/>
              </w:rPr>
              <w:t>方案可行性高，按本项目特点有针对性措施，得4-5分；方案可行性和针对性一般，得2-3分；方案勉强可行或不合本项目，0-1分。</w:t>
            </w:r>
          </w:p>
        </w:tc>
        <w:tc>
          <w:tcPr>
            <w:tcW w:w="1180" w:type="dxa"/>
            <w:noWrap w:val="0"/>
            <w:vAlign w:val="center"/>
          </w:tcPr>
          <w:p>
            <w:pPr>
              <w:shd w:val="clear"/>
              <w:snapToGrid w:val="0"/>
              <w:spacing w:line="280" w:lineRule="exact"/>
              <w:jc w:val="center"/>
              <w:rPr>
                <w:rFonts w:ascii="宋体" w:hAnsi="宋体" w:cs="宋体"/>
                <w:color w:val="auto"/>
                <w:kern w:val="0"/>
                <w:sz w:val="24"/>
                <w:highlight w:val="none"/>
              </w:rPr>
            </w:pPr>
          </w:p>
        </w:tc>
        <w:tc>
          <w:tcPr>
            <w:tcW w:w="450"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c>
          <w:tcPr>
            <w:tcW w:w="438"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c>
          <w:tcPr>
            <w:tcW w:w="240"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777" w:hRule="atLeast"/>
          <w:jc w:val="center"/>
        </w:trPr>
        <w:tc>
          <w:tcPr>
            <w:tcW w:w="1361" w:type="dxa"/>
            <w:noWrap w:val="0"/>
            <w:vAlign w:val="center"/>
          </w:tcPr>
          <w:p>
            <w:pPr>
              <w:pStyle w:val="6"/>
              <w:shd w:val="clear"/>
              <w:rPr>
                <w:color w:val="auto"/>
                <w:highlight w:val="none"/>
                <w:lang w:eastAsia="zh-CN"/>
              </w:rPr>
            </w:pPr>
            <w:r>
              <w:rPr>
                <w:color w:val="auto"/>
                <w:highlight w:val="none"/>
              </w:rPr>
              <w:t xml:space="preserve">值班实施方案 </w:t>
            </w:r>
            <w:r>
              <w:rPr>
                <w:rFonts w:hint="eastAsia"/>
                <w:color w:val="auto"/>
                <w:highlight w:val="none"/>
                <w:lang w:eastAsia="zh-CN"/>
              </w:rPr>
              <w:t>（</w:t>
            </w:r>
            <w:r>
              <w:rPr>
                <w:rFonts w:hint="eastAsia"/>
                <w:color w:val="auto"/>
                <w:highlight w:val="none"/>
                <w:lang w:val="en-US" w:eastAsia="zh-CN"/>
              </w:rPr>
              <w:t>10</w:t>
            </w:r>
            <w:r>
              <w:rPr>
                <w:color w:val="auto"/>
                <w:highlight w:val="none"/>
              </w:rPr>
              <w:t>分</w:t>
            </w:r>
            <w:r>
              <w:rPr>
                <w:rFonts w:hint="eastAsia"/>
                <w:color w:val="auto"/>
                <w:highlight w:val="none"/>
                <w:lang w:eastAsia="zh-CN"/>
              </w:rPr>
              <w:t>）</w:t>
            </w:r>
          </w:p>
        </w:tc>
        <w:tc>
          <w:tcPr>
            <w:tcW w:w="5708" w:type="dxa"/>
            <w:noWrap w:val="0"/>
            <w:vAlign w:val="center"/>
          </w:tcPr>
          <w:p>
            <w:pPr>
              <w:pStyle w:val="6"/>
              <w:numPr>
                <w:ilvl w:val="0"/>
                <w:numId w:val="2"/>
              </w:numPr>
              <w:shd w:val="clear"/>
              <w:rPr>
                <w:color w:val="auto"/>
                <w:highlight w:val="none"/>
              </w:rPr>
            </w:pPr>
            <w:r>
              <w:rPr>
                <w:rFonts w:hint="eastAsia"/>
                <w:color w:val="auto"/>
                <w:highlight w:val="none"/>
                <w:lang w:val="en-US" w:eastAsia="zh-CN"/>
              </w:rPr>
              <w:t>方案至少应包含：人员和排班计划、操作实施规程、应急方案、交接班记录。</w:t>
            </w:r>
            <w:r>
              <w:rPr>
                <w:rFonts w:hint="eastAsia" w:eastAsia="宋体" w:cs="Times New Roman"/>
                <w:bCs w:val="0"/>
                <w:color w:val="auto"/>
                <w:sz w:val="20"/>
                <w:szCs w:val="20"/>
                <w:highlight w:val="none"/>
                <w:lang w:val="en-US" w:eastAsia="zh-CN"/>
              </w:rPr>
              <w:t>以上方案内容，每提供一项得1分</w:t>
            </w:r>
            <w:r>
              <w:rPr>
                <w:color w:val="auto"/>
                <w:highlight w:val="none"/>
              </w:rPr>
              <w:t>。</w:t>
            </w:r>
          </w:p>
          <w:p>
            <w:pPr>
              <w:pStyle w:val="6"/>
              <w:numPr>
                <w:ilvl w:val="0"/>
                <w:numId w:val="2"/>
              </w:numPr>
              <w:shd w:val="clear"/>
              <w:rPr>
                <w:color w:val="auto"/>
                <w:highlight w:val="none"/>
              </w:rPr>
            </w:pPr>
            <w:r>
              <w:rPr>
                <w:rFonts w:hint="eastAsia"/>
                <w:color w:val="auto"/>
                <w:highlight w:val="none"/>
                <w:lang w:val="en-US" w:eastAsia="zh-CN"/>
              </w:rPr>
              <w:t>方案可行性高，按本项目特点有针对性措施，得4-5分；方案可行性和针对性一般，得2-3分；方案勉强可行或不合本项目，0-1分。</w:t>
            </w:r>
          </w:p>
        </w:tc>
        <w:tc>
          <w:tcPr>
            <w:tcW w:w="1180" w:type="dxa"/>
            <w:noWrap w:val="0"/>
            <w:vAlign w:val="center"/>
          </w:tcPr>
          <w:p>
            <w:pPr>
              <w:shd w:val="clear"/>
              <w:snapToGrid w:val="0"/>
              <w:spacing w:line="280" w:lineRule="exact"/>
              <w:jc w:val="center"/>
              <w:rPr>
                <w:rFonts w:ascii="宋体" w:hAnsi="宋体" w:cs="宋体"/>
                <w:color w:val="auto"/>
                <w:kern w:val="0"/>
                <w:sz w:val="24"/>
                <w:highlight w:val="none"/>
              </w:rPr>
            </w:pPr>
          </w:p>
        </w:tc>
        <w:tc>
          <w:tcPr>
            <w:tcW w:w="450"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c>
          <w:tcPr>
            <w:tcW w:w="438"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c>
          <w:tcPr>
            <w:tcW w:w="240"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1298" w:hRule="atLeast"/>
          <w:jc w:val="center"/>
        </w:trPr>
        <w:tc>
          <w:tcPr>
            <w:tcW w:w="1361" w:type="dxa"/>
            <w:noWrap w:val="0"/>
            <w:vAlign w:val="center"/>
          </w:tcPr>
          <w:p>
            <w:pPr>
              <w:pStyle w:val="6"/>
              <w:shd w:val="clear"/>
              <w:rPr>
                <w:rFonts w:hint="default"/>
                <w:color w:val="auto"/>
                <w:highlight w:val="none"/>
                <w:lang w:eastAsia="zh-CN"/>
              </w:rPr>
            </w:pPr>
            <w:bookmarkStart w:id="6" w:name="_Hlk193464101"/>
            <w:r>
              <w:rPr>
                <w:color w:val="auto"/>
                <w:highlight w:val="none"/>
              </w:rPr>
              <w:t>安全保障与突发事件应急处置方案</w:t>
            </w:r>
            <w:bookmarkEnd w:id="6"/>
            <w:r>
              <w:rPr>
                <w:color w:val="auto"/>
                <w:highlight w:val="none"/>
              </w:rPr>
              <w:t xml:space="preserve"> </w:t>
            </w:r>
            <w:r>
              <w:rPr>
                <w:rFonts w:hint="eastAsia"/>
                <w:color w:val="auto"/>
                <w:highlight w:val="none"/>
                <w:lang w:eastAsia="zh-CN"/>
              </w:rPr>
              <w:t>（</w:t>
            </w:r>
            <w:r>
              <w:rPr>
                <w:rFonts w:hint="eastAsia"/>
                <w:color w:val="auto"/>
                <w:highlight w:val="none"/>
                <w:lang w:val="en-US" w:eastAsia="zh-CN"/>
              </w:rPr>
              <w:t>10</w:t>
            </w:r>
            <w:r>
              <w:rPr>
                <w:color w:val="auto"/>
                <w:highlight w:val="none"/>
              </w:rPr>
              <w:t>分</w:t>
            </w:r>
            <w:r>
              <w:rPr>
                <w:rFonts w:hint="eastAsia"/>
                <w:color w:val="auto"/>
                <w:highlight w:val="none"/>
                <w:lang w:eastAsia="zh-CN"/>
              </w:rPr>
              <w:t>）</w:t>
            </w:r>
          </w:p>
        </w:tc>
        <w:tc>
          <w:tcPr>
            <w:tcW w:w="5708" w:type="dxa"/>
            <w:noWrap w:val="0"/>
            <w:vAlign w:val="center"/>
          </w:tcPr>
          <w:p>
            <w:pPr>
              <w:pStyle w:val="6"/>
              <w:numPr>
                <w:ilvl w:val="0"/>
                <w:numId w:val="3"/>
              </w:numPr>
              <w:shd w:val="clear"/>
              <w:rPr>
                <w:rFonts w:hint="eastAsia"/>
                <w:color w:val="auto"/>
                <w:highlight w:val="none"/>
                <w:lang w:val="en-US" w:eastAsia="zh-CN"/>
              </w:rPr>
            </w:pPr>
            <w:r>
              <w:rPr>
                <w:rFonts w:hint="eastAsia"/>
                <w:color w:val="auto"/>
                <w:highlight w:val="none"/>
                <w:lang w:val="en-US" w:eastAsia="zh-CN"/>
              </w:rPr>
              <w:t>包含但不限于：停电、火警、地质灾害、台风或暴雨、消防或监控设备故障等</w:t>
            </w:r>
            <w:r>
              <w:rPr>
                <w:color w:val="auto"/>
                <w:highlight w:val="none"/>
              </w:rPr>
              <w:t>应急处置方案</w:t>
            </w:r>
            <w:r>
              <w:rPr>
                <w:rFonts w:hint="eastAsia"/>
                <w:color w:val="auto"/>
                <w:highlight w:val="none"/>
                <w:lang w:eastAsia="zh-CN"/>
              </w:rPr>
              <w:t>。</w:t>
            </w:r>
            <w:r>
              <w:rPr>
                <w:rFonts w:hint="eastAsia"/>
                <w:color w:val="auto"/>
                <w:highlight w:val="none"/>
                <w:lang w:val="en-US" w:eastAsia="zh-CN"/>
              </w:rPr>
              <w:t>每提供1个应急方案得1分。提供内容应符合本项目，否则不得分。</w:t>
            </w:r>
          </w:p>
          <w:p>
            <w:pPr>
              <w:pStyle w:val="6"/>
              <w:numPr>
                <w:ilvl w:val="0"/>
                <w:numId w:val="3"/>
              </w:numPr>
              <w:shd w:val="clear"/>
              <w:rPr>
                <w:rFonts w:hint="default"/>
                <w:color w:val="auto"/>
                <w:highlight w:val="none"/>
                <w:lang w:val="en-US" w:eastAsia="zh-CN"/>
              </w:rPr>
            </w:pPr>
            <w:r>
              <w:rPr>
                <w:rFonts w:hint="eastAsia"/>
                <w:color w:val="auto"/>
                <w:highlight w:val="none"/>
                <w:lang w:val="en-US" w:eastAsia="zh-CN"/>
              </w:rPr>
              <w:t>方案可行性高，按本项目特点有针对性措施，得4-5分；方案可行性和针对性一般，得2-3分；方案勉强可行或不合本项目，0-1分。</w:t>
            </w:r>
          </w:p>
        </w:tc>
        <w:tc>
          <w:tcPr>
            <w:tcW w:w="1180" w:type="dxa"/>
            <w:noWrap w:val="0"/>
            <w:vAlign w:val="center"/>
          </w:tcPr>
          <w:p>
            <w:pPr>
              <w:shd w:val="clear"/>
              <w:snapToGrid w:val="0"/>
              <w:spacing w:line="280" w:lineRule="exact"/>
              <w:jc w:val="center"/>
              <w:rPr>
                <w:rFonts w:ascii="宋体" w:hAnsi="宋体" w:cs="宋体"/>
                <w:color w:val="auto"/>
                <w:kern w:val="0"/>
                <w:sz w:val="24"/>
                <w:highlight w:val="none"/>
              </w:rPr>
            </w:pPr>
          </w:p>
        </w:tc>
        <w:tc>
          <w:tcPr>
            <w:tcW w:w="450"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c>
          <w:tcPr>
            <w:tcW w:w="438"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c>
          <w:tcPr>
            <w:tcW w:w="240"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1877" w:hRule="atLeast"/>
          <w:jc w:val="center"/>
        </w:trPr>
        <w:tc>
          <w:tcPr>
            <w:tcW w:w="1361" w:type="dxa"/>
            <w:noWrap w:val="0"/>
            <w:vAlign w:val="center"/>
          </w:tcPr>
          <w:p>
            <w:pPr>
              <w:pStyle w:val="6"/>
              <w:shd w:val="clear"/>
              <w:rPr>
                <w:rFonts w:hint="default"/>
                <w:color w:val="auto"/>
                <w:highlight w:val="none"/>
                <w:lang w:eastAsia="zh-CN"/>
              </w:rPr>
            </w:pPr>
            <w:r>
              <w:rPr>
                <w:color w:val="auto"/>
                <w:highlight w:val="none"/>
                <w:lang w:eastAsia="zh-CN"/>
              </w:rPr>
              <w:t>项目</w:t>
            </w:r>
            <w:r>
              <w:rPr>
                <w:color w:val="auto"/>
                <w:highlight w:val="none"/>
              </w:rPr>
              <w:t xml:space="preserve">管理制度 </w:t>
            </w:r>
            <w:r>
              <w:rPr>
                <w:rFonts w:hint="eastAsia"/>
                <w:color w:val="auto"/>
                <w:highlight w:val="none"/>
                <w:lang w:eastAsia="zh-CN"/>
              </w:rPr>
              <w:t>（</w:t>
            </w:r>
            <w:r>
              <w:rPr>
                <w:rFonts w:hint="eastAsia"/>
                <w:color w:val="auto"/>
                <w:highlight w:val="none"/>
                <w:lang w:val="en-US" w:eastAsia="zh-CN"/>
              </w:rPr>
              <w:t>10</w:t>
            </w:r>
            <w:r>
              <w:rPr>
                <w:color w:val="auto"/>
                <w:highlight w:val="none"/>
              </w:rPr>
              <w:t>分</w:t>
            </w:r>
            <w:r>
              <w:rPr>
                <w:rFonts w:hint="eastAsia"/>
                <w:color w:val="auto"/>
                <w:highlight w:val="none"/>
                <w:lang w:eastAsia="zh-CN"/>
              </w:rPr>
              <w:t>）</w:t>
            </w:r>
          </w:p>
        </w:tc>
        <w:tc>
          <w:tcPr>
            <w:tcW w:w="5708" w:type="dxa"/>
            <w:noWrap w:val="0"/>
            <w:vAlign w:val="center"/>
          </w:tcPr>
          <w:p>
            <w:pPr>
              <w:pStyle w:val="6"/>
              <w:numPr>
                <w:ilvl w:val="0"/>
                <w:numId w:val="4"/>
              </w:numPr>
              <w:shd w:val="clear"/>
              <w:rPr>
                <w:rFonts w:hint="eastAsia"/>
                <w:color w:val="auto"/>
                <w:highlight w:val="none"/>
                <w:lang w:val="en-US" w:eastAsia="zh-CN"/>
              </w:rPr>
            </w:pPr>
            <w:r>
              <w:rPr>
                <w:rFonts w:hint="eastAsia"/>
                <w:color w:val="auto"/>
                <w:highlight w:val="none"/>
                <w:lang w:val="en-US" w:eastAsia="zh-CN"/>
              </w:rPr>
              <w:t>包含但不限于：巡查、值班、设备操作和保养、应急处置和报告、交接班、资料管理、人员管理、设备管理、</w:t>
            </w:r>
            <w:r>
              <w:rPr>
                <w:rFonts w:hint="eastAsia" w:eastAsia="宋体" w:cs="Times New Roman"/>
                <w:color w:val="auto"/>
                <w:highlight w:val="none"/>
                <w:lang w:val="en-US" w:eastAsia="zh-CN"/>
              </w:rPr>
              <w:t>志愿消防队、</w:t>
            </w:r>
            <w:r>
              <w:rPr>
                <w:rFonts w:hint="eastAsia" w:ascii="Calibri" w:hAnsi="Calibri" w:eastAsia="宋体" w:cs="Times New Roman"/>
                <w:bCs w:val="0"/>
                <w:color w:val="auto"/>
                <w:sz w:val="20"/>
                <w:szCs w:val="20"/>
                <w:highlight w:val="none"/>
                <w:lang w:eastAsia="zh-CN"/>
              </w:rPr>
              <w:t>培训演练</w:t>
            </w:r>
            <w:r>
              <w:rPr>
                <w:rFonts w:hint="eastAsia" w:eastAsia="宋体" w:cs="Times New Roman"/>
                <w:bCs w:val="0"/>
                <w:color w:val="auto"/>
                <w:sz w:val="20"/>
                <w:szCs w:val="20"/>
                <w:highlight w:val="none"/>
                <w:lang w:val="en-US" w:eastAsia="zh-CN"/>
              </w:rPr>
              <w:t>等管理制度。</w:t>
            </w:r>
            <w:r>
              <w:rPr>
                <w:rFonts w:hint="eastAsia"/>
                <w:color w:val="auto"/>
                <w:highlight w:val="none"/>
                <w:lang w:val="en-US" w:eastAsia="zh-CN"/>
              </w:rPr>
              <w:t>每提供1个管理制度得1分。</w:t>
            </w:r>
          </w:p>
          <w:p>
            <w:pPr>
              <w:pStyle w:val="6"/>
              <w:numPr>
                <w:ilvl w:val="0"/>
                <w:numId w:val="4"/>
              </w:numPr>
              <w:shd w:val="clear"/>
              <w:rPr>
                <w:rFonts w:hint="default"/>
                <w:color w:val="auto"/>
                <w:highlight w:val="none"/>
                <w:lang w:val="en-US" w:eastAsia="zh-CN"/>
              </w:rPr>
            </w:pPr>
            <w:r>
              <w:rPr>
                <w:rFonts w:hint="eastAsia"/>
                <w:color w:val="auto"/>
                <w:highlight w:val="none"/>
                <w:lang w:val="en-US" w:eastAsia="zh-CN"/>
              </w:rPr>
              <w:t>制度可行性高，按本项目特点有针对性细则，得4-5分；制度可行性和针对性一般，得2-3分；制度勉强可行或不合本项目，0-1分。</w:t>
            </w:r>
          </w:p>
        </w:tc>
        <w:tc>
          <w:tcPr>
            <w:tcW w:w="1180" w:type="dxa"/>
            <w:noWrap w:val="0"/>
            <w:vAlign w:val="center"/>
          </w:tcPr>
          <w:p>
            <w:pPr>
              <w:shd w:val="clear"/>
              <w:snapToGrid w:val="0"/>
              <w:spacing w:line="280" w:lineRule="exact"/>
              <w:jc w:val="center"/>
              <w:rPr>
                <w:rFonts w:ascii="宋体" w:hAnsi="宋体" w:cs="宋体"/>
                <w:color w:val="auto"/>
                <w:kern w:val="0"/>
                <w:sz w:val="24"/>
                <w:highlight w:val="none"/>
              </w:rPr>
            </w:pPr>
          </w:p>
        </w:tc>
        <w:tc>
          <w:tcPr>
            <w:tcW w:w="450"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c>
          <w:tcPr>
            <w:tcW w:w="438"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c>
          <w:tcPr>
            <w:tcW w:w="240"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573" w:hRule="atLeast"/>
          <w:jc w:val="center"/>
        </w:trPr>
        <w:tc>
          <w:tcPr>
            <w:tcW w:w="9377" w:type="dxa"/>
            <w:gridSpan w:val="6"/>
            <w:noWrap w:val="0"/>
            <w:vAlign w:val="center"/>
          </w:tcPr>
          <w:p>
            <w:pPr>
              <w:shd w:val="clear"/>
              <w:snapToGrid w:val="0"/>
              <w:spacing w:line="300" w:lineRule="auto"/>
              <w:ind w:left="210" w:leftChars="100"/>
              <w:jc w:val="center"/>
              <w:rPr>
                <w:rFonts w:ascii="宋体" w:hAnsi="宋体"/>
                <w:color w:val="auto"/>
                <w:kern w:val="0"/>
                <w:szCs w:val="21"/>
                <w:highlight w:val="none"/>
              </w:rPr>
            </w:pPr>
            <w:r>
              <w:rPr>
                <w:rFonts w:hint="eastAsia" w:ascii="宋体" w:hAnsi="宋体"/>
                <w:color w:val="auto"/>
                <w:kern w:val="0"/>
                <w:szCs w:val="21"/>
                <w:highlight w:val="none"/>
              </w:rPr>
              <w:t>商务评分 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777" w:hRule="atLeast"/>
          <w:jc w:val="center"/>
        </w:trPr>
        <w:tc>
          <w:tcPr>
            <w:tcW w:w="1361" w:type="dxa"/>
            <w:noWrap w:val="0"/>
            <w:vAlign w:val="center"/>
          </w:tcPr>
          <w:p>
            <w:pPr>
              <w:shd w:val="clear"/>
              <w:jc w:val="left"/>
              <w:rPr>
                <w:rFonts w:ascii="Times New Roman" w:hAnsi="Times New Roman"/>
                <w:bCs/>
                <w:color w:val="auto"/>
                <w:sz w:val="24"/>
                <w:highlight w:val="none"/>
              </w:rPr>
            </w:pPr>
            <w:r>
              <w:rPr>
                <w:rFonts w:hint="eastAsia" w:ascii="Times New Roman" w:hAnsi="Times New Roman"/>
                <w:bCs/>
                <w:color w:val="auto"/>
                <w:sz w:val="24"/>
                <w:highlight w:val="none"/>
              </w:rPr>
              <w:t>同类业绩</w:t>
            </w:r>
            <w:r>
              <w:rPr>
                <w:color w:val="auto"/>
                <w:highlight w:val="none"/>
              </w:rPr>
              <w:t xml:space="preserve"> </w:t>
            </w:r>
            <w:r>
              <w:rPr>
                <w:rFonts w:hint="eastAsia"/>
                <w:color w:val="auto"/>
                <w:highlight w:val="none"/>
                <w:lang w:eastAsia="zh-CN"/>
              </w:rPr>
              <w:t>（</w:t>
            </w:r>
            <w:r>
              <w:rPr>
                <w:rFonts w:hint="eastAsia"/>
                <w:color w:val="auto"/>
                <w:highlight w:val="none"/>
                <w:lang w:val="en-US" w:eastAsia="zh-CN"/>
              </w:rPr>
              <w:t>8</w:t>
            </w:r>
            <w:r>
              <w:rPr>
                <w:color w:val="auto"/>
                <w:highlight w:val="none"/>
              </w:rPr>
              <w:t>分</w:t>
            </w:r>
            <w:r>
              <w:rPr>
                <w:rFonts w:hint="eastAsia"/>
                <w:color w:val="auto"/>
                <w:highlight w:val="none"/>
                <w:lang w:eastAsia="zh-CN"/>
              </w:rPr>
              <w:t>）</w:t>
            </w:r>
          </w:p>
        </w:tc>
        <w:tc>
          <w:tcPr>
            <w:tcW w:w="5708" w:type="dxa"/>
            <w:noWrap w:val="0"/>
            <w:vAlign w:val="center"/>
          </w:tcPr>
          <w:p>
            <w:pPr>
              <w:shd w:val="clear"/>
              <w:rPr>
                <w:rFonts w:hint="default" w:ascii="Times New Roman" w:hAnsi="Times New Roman" w:eastAsia="宋体"/>
                <w:color w:val="auto"/>
                <w:sz w:val="24"/>
                <w:highlight w:val="none"/>
                <w:lang w:val="en-US" w:eastAsia="zh-CN"/>
              </w:rPr>
            </w:pPr>
            <w:r>
              <w:rPr>
                <w:color w:val="auto"/>
                <w:highlight w:val="none"/>
              </w:rPr>
              <w:t>提供自202</w:t>
            </w:r>
            <w:r>
              <w:rPr>
                <w:rFonts w:hint="eastAsia"/>
                <w:color w:val="auto"/>
                <w:highlight w:val="none"/>
              </w:rPr>
              <w:t>2</w:t>
            </w:r>
            <w:r>
              <w:rPr>
                <w:color w:val="auto"/>
                <w:highlight w:val="none"/>
              </w:rPr>
              <w:t>年1月1日以来（以合同签订时间为准）的同类业绩（同类业绩指合同概况至少包含消防值守相关的项目），每提供一个业绩得</w:t>
            </w:r>
            <w:r>
              <w:rPr>
                <w:rFonts w:hint="eastAsia"/>
                <w:color w:val="auto"/>
                <w:highlight w:val="none"/>
                <w:lang w:val="en-US" w:eastAsia="zh-CN"/>
              </w:rPr>
              <w:t>2</w:t>
            </w:r>
            <w:r>
              <w:rPr>
                <w:color w:val="auto"/>
                <w:highlight w:val="none"/>
              </w:rPr>
              <w:t>分。</w:t>
            </w:r>
            <w:r>
              <w:rPr>
                <w:rFonts w:hint="eastAsia"/>
                <w:color w:val="auto"/>
                <w:highlight w:val="none"/>
                <w:lang w:val="en-US" w:eastAsia="zh-CN"/>
              </w:rPr>
              <w:t>提供合同关键页复印件及相关资料。</w:t>
            </w:r>
          </w:p>
        </w:tc>
        <w:tc>
          <w:tcPr>
            <w:tcW w:w="1180" w:type="dxa"/>
            <w:noWrap w:val="0"/>
            <w:vAlign w:val="center"/>
          </w:tcPr>
          <w:p>
            <w:pPr>
              <w:shd w:val="clear"/>
              <w:snapToGrid w:val="0"/>
              <w:jc w:val="center"/>
              <w:rPr>
                <w:rFonts w:ascii="Times New Roman" w:hAnsi="Times New Roman"/>
                <w:color w:val="auto"/>
                <w:kern w:val="0"/>
                <w:sz w:val="24"/>
                <w:highlight w:val="none"/>
              </w:rPr>
            </w:pPr>
          </w:p>
        </w:tc>
        <w:tc>
          <w:tcPr>
            <w:tcW w:w="450"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c>
          <w:tcPr>
            <w:tcW w:w="438"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c>
          <w:tcPr>
            <w:tcW w:w="240" w:type="dxa"/>
            <w:noWrap w:val="0"/>
            <w:vAlign w:val="center"/>
          </w:tcPr>
          <w:p>
            <w:pPr>
              <w:shd w:val="clear"/>
              <w:snapToGrid w:val="0"/>
              <w:spacing w:line="300" w:lineRule="auto"/>
              <w:ind w:left="210" w:leftChars="100"/>
              <w:jc w:val="center"/>
              <w:rPr>
                <w:rFonts w:ascii="宋体" w:hAnsi="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1263" w:hRule="atLeast"/>
          <w:jc w:val="center"/>
        </w:trPr>
        <w:tc>
          <w:tcPr>
            <w:tcW w:w="1361" w:type="dxa"/>
            <w:noWrap w:val="0"/>
            <w:vAlign w:val="center"/>
          </w:tcPr>
          <w:p>
            <w:pPr>
              <w:shd w:val="clear"/>
              <w:jc w:val="left"/>
              <w:rPr>
                <w:rFonts w:ascii="Times New Roman" w:hAnsi="Times New Roman"/>
                <w:color w:val="auto"/>
                <w:sz w:val="24"/>
                <w:highlight w:val="none"/>
              </w:rPr>
            </w:pPr>
            <w:r>
              <w:rPr>
                <w:color w:val="auto"/>
                <w:highlight w:val="none"/>
              </w:rPr>
              <w:t xml:space="preserve">满意度评价 </w:t>
            </w:r>
            <w:r>
              <w:rPr>
                <w:rFonts w:hint="eastAsia"/>
                <w:color w:val="auto"/>
                <w:highlight w:val="none"/>
                <w:lang w:eastAsia="zh-CN"/>
              </w:rPr>
              <w:t>（</w:t>
            </w:r>
            <w:r>
              <w:rPr>
                <w:rFonts w:hint="eastAsia"/>
                <w:color w:val="auto"/>
                <w:highlight w:val="none"/>
                <w:lang w:val="en-US" w:eastAsia="zh-CN"/>
              </w:rPr>
              <w:t>6</w:t>
            </w:r>
            <w:r>
              <w:rPr>
                <w:color w:val="auto"/>
                <w:highlight w:val="none"/>
              </w:rPr>
              <w:t>分</w:t>
            </w:r>
            <w:r>
              <w:rPr>
                <w:rFonts w:hint="eastAsia"/>
                <w:color w:val="auto"/>
                <w:highlight w:val="none"/>
                <w:lang w:eastAsia="zh-CN"/>
              </w:rPr>
              <w:t>）</w:t>
            </w:r>
          </w:p>
        </w:tc>
        <w:tc>
          <w:tcPr>
            <w:tcW w:w="5708" w:type="dxa"/>
            <w:noWrap w:val="0"/>
            <w:vAlign w:val="center"/>
          </w:tcPr>
          <w:p>
            <w:pPr>
              <w:shd w:val="clear"/>
              <w:rPr>
                <w:rFonts w:hint="eastAsia" w:ascii="Times New Roman" w:hAnsi="Times New Roman" w:eastAsiaTheme="minorEastAsia"/>
                <w:color w:val="auto"/>
                <w:sz w:val="24"/>
                <w:highlight w:val="none"/>
                <w:lang w:eastAsia="zh-CN"/>
              </w:rPr>
            </w:pPr>
            <w:r>
              <w:rPr>
                <w:color w:val="auto"/>
                <w:highlight w:val="none"/>
              </w:rPr>
              <w:t>上述同类项目业绩中，每提供一项获得业主单位出具满意度评价证明（评价为满意或优秀或同等</w:t>
            </w:r>
            <w:r>
              <w:rPr>
                <w:rFonts w:hint="eastAsia"/>
                <w:color w:val="auto"/>
                <w:highlight w:val="none"/>
                <w:lang w:eastAsia="zh-CN"/>
              </w:rPr>
              <w:t>表述</w:t>
            </w:r>
            <w:r>
              <w:rPr>
                <w:color w:val="auto"/>
                <w:highlight w:val="none"/>
              </w:rPr>
              <w:t>）的得</w:t>
            </w:r>
            <w:r>
              <w:rPr>
                <w:rFonts w:hint="eastAsia"/>
                <w:color w:val="auto"/>
                <w:highlight w:val="none"/>
                <w:lang w:val="en-US" w:eastAsia="zh-CN"/>
              </w:rPr>
              <w:t>1</w:t>
            </w:r>
            <w:r>
              <w:rPr>
                <w:color w:val="auto"/>
                <w:highlight w:val="none"/>
              </w:rPr>
              <w:t>分。</w:t>
            </w:r>
            <w:r>
              <w:rPr>
                <w:b/>
                <w:bCs/>
                <w:color w:val="auto"/>
                <w:highlight w:val="none"/>
              </w:rPr>
              <w:t>注</w:t>
            </w:r>
            <w:r>
              <w:rPr>
                <w:color w:val="auto"/>
                <w:highlight w:val="none"/>
              </w:rPr>
              <w:t>：（1）需提供满意度评价证明材料复印件。（2）用户满意度评价须经业主单位盖章，评价情况至少须为满意</w:t>
            </w:r>
            <w:r>
              <w:rPr>
                <w:rFonts w:hint="eastAsia"/>
                <w:color w:val="auto"/>
                <w:highlight w:val="none"/>
              </w:rPr>
              <w:t>、良好</w:t>
            </w:r>
            <w:r>
              <w:rPr>
                <w:color w:val="auto"/>
                <w:highlight w:val="none"/>
              </w:rPr>
              <w:t>或类似好评的方可计分</w:t>
            </w:r>
            <w:r>
              <w:rPr>
                <w:rFonts w:hint="eastAsia"/>
                <w:color w:val="auto"/>
                <w:highlight w:val="none"/>
                <w:lang w:eastAsia="zh-CN"/>
              </w:rPr>
              <w:t>。</w:t>
            </w:r>
          </w:p>
        </w:tc>
        <w:tc>
          <w:tcPr>
            <w:tcW w:w="1180" w:type="dxa"/>
            <w:noWrap w:val="0"/>
            <w:vAlign w:val="center"/>
          </w:tcPr>
          <w:p>
            <w:pPr>
              <w:shd w:val="clear"/>
              <w:jc w:val="center"/>
              <w:rPr>
                <w:rFonts w:ascii="Times New Roman" w:hAnsi="Times New Roman"/>
                <w:color w:val="auto"/>
                <w:sz w:val="24"/>
                <w:highlight w:val="none"/>
              </w:rPr>
            </w:pPr>
          </w:p>
        </w:tc>
        <w:tc>
          <w:tcPr>
            <w:tcW w:w="450"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c>
          <w:tcPr>
            <w:tcW w:w="438"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c>
          <w:tcPr>
            <w:tcW w:w="240"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1491" w:hRule="atLeast"/>
          <w:jc w:val="center"/>
        </w:trPr>
        <w:tc>
          <w:tcPr>
            <w:tcW w:w="1361" w:type="dxa"/>
            <w:noWrap w:val="0"/>
            <w:vAlign w:val="center"/>
          </w:tcPr>
          <w:p>
            <w:pPr>
              <w:shd w:val="clear"/>
              <w:jc w:val="left"/>
              <w:rPr>
                <w:rFonts w:ascii="Times New Roman" w:hAnsi="Times New Roman"/>
                <w:color w:val="auto"/>
                <w:sz w:val="24"/>
                <w:highlight w:val="none"/>
              </w:rPr>
            </w:pPr>
            <w:r>
              <w:rPr>
                <w:color w:val="auto"/>
                <w:highlight w:val="none"/>
              </w:rPr>
              <w:t xml:space="preserve">认证体系 </w:t>
            </w:r>
            <w:r>
              <w:rPr>
                <w:rFonts w:hint="eastAsia"/>
                <w:color w:val="auto"/>
                <w:highlight w:val="none"/>
                <w:lang w:eastAsia="zh-CN"/>
              </w:rPr>
              <w:t>（</w:t>
            </w:r>
            <w:r>
              <w:rPr>
                <w:rFonts w:hint="eastAsia"/>
                <w:color w:val="auto"/>
                <w:highlight w:val="none"/>
                <w:lang w:val="en-US" w:eastAsia="zh-CN"/>
              </w:rPr>
              <w:t>6</w:t>
            </w:r>
            <w:r>
              <w:rPr>
                <w:color w:val="auto"/>
                <w:highlight w:val="none"/>
              </w:rPr>
              <w:t>分</w:t>
            </w:r>
            <w:r>
              <w:rPr>
                <w:rFonts w:hint="eastAsia"/>
                <w:color w:val="auto"/>
                <w:highlight w:val="none"/>
                <w:lang w:eastAsia="zh-CN"/>
              </w:rPr>
              <w:t>）</w:t>
            </w:r>
          </w:p>
        </w:tc>
        <w:tc>
          <w:tcPr>
            <w:tcW w:w="5708" w:type="dxa"/>
            <w:noWrap w:val="0"/>
            <w:vAlign w:val="center"/>
          </w:tcPr>
          <w:p>
            <w:pPr>
              <w:shd w:val="clear"/>
              <w:rPr>
                <w:rFonts w:ascii="Times New Roman" w:hAnsi="Times New Roman"/>
                <w:color w:val="auto"/>
                <w:sz w:val="24"/>
                <w:highlight w:val="none"/>
              </w:rPr>
            </w:pPr>
            <w:r>
              <w:rPr>
                <w:rFonts w:hint="eastAsia"/>
                <w:color w:val="auto"/>
                <w:highlight w:val="none"/>
                <w:lang w:eastAsia="zh-CN"/>
              </w:rPr>
              <w:t>供应商</w:t>
            </w:r>
            <w:r>
              <w:rPr>
                <w:color w:val="auto"/>
                <w:highlight w:val="none"/>
              </w:rPr>
              <w:t>具有有效期的质量管理体系认证、环境管理体系认证、职业健康安全管理体系认证、应急预案管理能力评价认证的，每提供一个证书得2分。 注：需提供有效证书复印件，并须同时提供在全国认证认可信息公共服务平台对体系证书的信息查询截图作为依据，已失效、暂停或撤销的不得分</w:t>
            </w:r>
            <w:r>
              <w:rPr>
                <w:rFonts w:hint="eastAsia"/>
                <w:color w:val="auto"/>
                <w:highlight w:val="none"/>
                <w:lang w:eastAsia="zh-CN"/>
              </w:rPr>
              <w:t>，</w:t>
            </w:r>
            <w:r>
              <w:rPr>
                <w:color w:val="auto"/>
                <w:highlight w:val="none"/>
              </w:rPr>
              <w:t>不提供不得分。</w:t>
            </w:r>
          </w:p>
        </w:tc>
        <w:tc>
          <w:tcPr>
            <w:tcW w:w="1180" w:type="dxa"/>
            <w:noWrap w:val="0"/>
            <w:vAlign w:val="center"/>
          </w:tcPr>
          <w:p>
            <w:pPr>
              <w:shd w:val="clear"/>
              <w:jc w:val="center"/>
              <w:rPr>
                <w:rFonts w:ascii="Times New Roman" w:hAnsi="Times New Roman"/>
                <w:color w:val="auto"/>
                <w:sz w:val="24"/>
                <w:highlight w:val="none"/>
              </w:rPr>
            </w:pPr>
          </w:p>
        </w:tc>
        <w:tc>
          <w:tcPr>
            <w:tcW w:w="450"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c>
          <w:tcPr>
            <w:tcW w:w="438"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c>
          <w:tcPr>
            <w:tcW w:w="240"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1491" w:hRule="atLeast"/>
          <w:jc w:val="center"/>
        </w:trPr>
        <w:tc>
          <w:tcPr>
            <w:tcW w:w="1361" w:type="dxa"/>
            <w:noWrap w:val="0"/>
            <w:vAlign w:val="center"/>
          </w:tcPr>
          <w:p>
            <w:pPr>
              <w:shd w:val="clear"/>
              <w:jc w:val="left"/>
              <w:rPr>
                <w:color w:val="auto"/>
                <w:highlight w:val="none"/>
              </w:rPr>
            </w:pPr>
            <w:r>
              <w:rPr>
                <w:color w:val="auto"/>
                <w:highlight w:val="none"/>
              </w:rPr>
              <w:t xml:space="preserve">项目服务团队 </w:t>
            </w:r>
            <w:r>
              <w:rPr>
                <w:rFonts w:hint="eastAsia"/>
                <w:color w:val="auto"/>
                <w:highlight w:val="none"/>
                <w:lang w:eastAsia="zh-CN"/>
              </w:rPr>
              <w:t>（</w:t>
            </w:r>
            <w:r>
              <w:rPr>
                <w:color w:val="auto"/>
                <w:highlight w:val="none"/>
              </w:rPr>
              <w:t>10分</w:t>
            </w:r>
            <w:r>
              <w:rPr>
                <w:rFonts w:hint="eastAsia"/>
                <w:color w:val="auto"/>
                <w:highlight w:val="none"/>
                <w:lang w:eastAsia="zh-CN"/>
              </w:rPr>
              <w:t>）</w:t>
            </w:r>
          </w:p>
        </w:tc>
        <w:tc>
          <w:tcPr>
            <w:tcW w:w="5708" w:type="dxa"/>
            <w:noWrap w:val="0"/>
            <w:vAlign w:val="center"/>
          </w:tcPr>
          <w:p>
            <w:pPr>
              <w:shd w:val="clear"/>
              <w:rPr>
                <w:rFonts w:hint="eastAsia" w:eastAsia="宋体"/>
                <w:color w:val="auto"/>
                <w:highlight w:val="none"/>
                <w:lang w:val="en-US" w:eastAsia="zh-CN"/>
              </w:rPr>
            </w:pPr>
            <w:r>
              <w:rPr>
                <w:color w:val="auto"/>
                <w:highlight w:val="none"/>
              </w:rPr>
              <w:t>根据</w:t>
            </w:r>
            <w:r>
              <w:rPr>
                <w:rFonts w:hint="eastAsia"/>
                <w:color w:val="auto"/>
                <w:highlight w:val="none"/>
                <w:lang w:eastAsia="zh-CN"/>
              </w:rPr>
              <w:t>供应商</w:t>
            </w:r>
            <w:r>
              <w:rPr>
                <w:color w:val="auto"/>
                <w:highlight w:val="none"/>
              </w:rPr>
              <w:t>拟投入本项目的服务团队进行评审： （1）</w:t>
            </w:r>
            <w:r>
              <w:rPr>
                <w:color w:val="auto"/>
                <w:highlight w:val="none"/>
                <w:lang w:eastAsia="zh-CN"/>
              </w:rPr>
              <w:t>驻场</w:t>
            </w:r>
            <w:r>
              <w:rPr>
                <w:color w:val="auto"/>
                <w:highlight w:val="none"/>
              </w:rPr>
              <w:t>人员</w:t>
            </w:r>
            <w:r>
              <w:rPr>
                <w:color w:val="auto"/>
                <w:highlight w:val="none"/>
                <w:lang w:eastAsia="zh-CN"/>
              </w:rPr>
              <w:t>有以下技能证书的，每个证书得</w:t>
            </w:r>
            <w:r>
              <w:rPr>
                <w:rFonts w:hint="eastAsia"/>
                <w:color w:val="auto"/>
                <w:highlight w:val="none"/>
                <w:lang w:val="en-US" w:eastAsia="zh-CN"/>
              </w:rPr>
              <w:t>2</w:t>
            </w:r>
            <w:r>
              <w:rPr>
                <w:color w:val="auto"/>
                <w:highlight w:val="none"/>
                <w:lang w:eastAsia="zh-CN"/>
              </w:rPr>
              <w:t>分：</w:t>
            </w:r>
            <w:r>
              <w:rPr>
                <w:color w:val="auto"/>
                <w:highlight w:val="none"/>
              </w:rPr>
              <w:t>消防设施操作员</w:t>
            </w:r>
            <w:r>
              <w:rPr>
                <w:color w:val="auto"/>
                <w:highlight w:val="none"/>
                <w:lang w:eastAsia="zh-CN"/>
              </w:rPr>
              <w:t>高级（三级）证书（高级建（构）筑物消防员职业资格证）、一级注册消防工程师证书。 （2）驻场</w:t>
            </w:r>
            <w:r>
              <w:rPr>
                <w:color w:val="auto"/>
                <w:highlight w:val="none"/>
              </w:rPr>
              <w:t>人员</w:t>
            </w:r>
            <w:r>
              <w:rPr>
                <w:color w:val="auto"/>
                <w:highlight w:val="none"/>
                <w:lang w:eastAsia="zh-CN"/>
              </w:rPr>
              <w:t>有以下学历证书（同时提供毕业证书及学历认证）的，每个证书得1</w:t>
            </w:r>
            <w:r>
              <w:rPr>
                <w:rFonts w:hint="eastAsia"/>
                <w:color w:val="auto"/>
                <w:highlight w:val="none"/>
                <w:lang w:val="en-US" w:eastAsia="zh-CN"/>
              </w:rPr>
              <w:t>.5</w:t>
            </w:r>
            <w:r>
              <w:rPr>
                <w:color w:val="auto"/>
                <w:highlight w:val="none"/>
                <w:lang w:eastAsia="zh-CN"/>
              </w:rPr>
              <w:t>分：大专及以上学历证书。</w:t>
            </w:r>
            <w:r>
              <w:rPr>
                <w:color w:val="auto"/>
                <w:highlight w:val="none"/>
              </w:rPr>
              <w:t xml:space="preserve"> </w:t>
            </w:r>
            <w:r>
              <w:rPr>
                <w:b/>
                <w:bCs/>
                <w:color w:val="auto"/>
                <w:highlight w:val="none"/>
              </w:rPr>
              <w:t>注：</w:t>
            </w:r>
            <w:r>
              <w:rPr>
                <w:color w:val="auto"/>
                <w:highlight w:val="none"/>
                <w:lang w:eastAsia="zh-CN"/>
              </w:rPr>
              <w:t>须</w:t>
            </w:r>
            <w:r>
              <w:rPr>
                <w:color w:val="auto"/>
                <w:highlight w:val="none"/>
              </w:rPr>
              <w:t>提供相关证书及人员在</w:t>
            </w:r>
            <w:r>
              <w:rPr>
                <w:rFonts w:hint="eastAsia"/>
                <w:color w:val="auto"/>
                <w:highlight w:val="none"/>
                <w:lang w:eastAsia="zh-CN"/>
              </w:rPr>
              <w:t>供应商</w:t>
            </w:r>
            <w:r>
              <w:rPr>
                <w:color w:val="auto"/>
                <w:highlight w:val="none"/>
              </w:rPr>
              <w:t>任职证明文件（劳动合同及社保证明材料）并加盖</w:t>
            </w:r>
            <w:r>
              <w:rPr>
                <w:rFonts w:hint="eastAsia"/>
                <w:color w:val="auto"/>
                <w:highlight w:val="none"/>
                <w:lang w:eastAsia="zh-CN"/>
              </w:rPr>
              <w:t>供应商</w:t>
            </w:r>
            <w:r>
              <w:rPr>
                <w:color w:val="auto"/>
                <w:highlight w:val="none"/>
              </w:rPr>
              <w:t>公章，否则不得分</w:t>
            </w:r>
            <w:r>
              <w:rPr>
                <w:rFonts w:hint="eastAsia"/>
                <w:color w:val="auto"/>
                <w:highlight w:val="none"/>
                <w:lang w:eastAsia="zh-CN"/>
              </w:rPr>
              <w:t>。</w:t>
            </w:r>
          </w:p>
        </w:tc>
        <w:tc>
          <w:tcPr>
            <w:tcW w:w="1180" w:type="dxa"/>
            <w:noWrap w:val="0"/>
            <w:vAlign w:val="center"/>
          </w:tcPr>
          <w:p>
            <w:pPr>
              <w:shd w:val="clear"/>
              <w:jc w:val="center"/>
              <w:rPr>
                <w:rFonts w:ascii="Times New Roman" w:hAnsi="Times New Roman"/>
                <w:color w:val="auto"/>
                <w:sz w:val="24"/>
                <w:highlight w:val="none"/>
              </w:rPr>
            </w:pPr>
          </w:p>
        </w:tc>
        <w:tc>
          <w:tcPr>
            <w:tcW w:w="450"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c>
          <w:tcPr>
            <w:tcW w:w="438"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c>
          <w:tcPr>
            <w:tcW w:w="240"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696" w:hRule="atLeast"/>
          <w:jc w:val="center"/>
        </w:trPr>
        <w:tc>
          <w:tcPr>
            <w:tcW w:w="9377" w:type="dxa"/>
            <w:gridSpan w:val="6"/>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r>
              <w:rPr>
                <w:rFonts w:hint="eastAsia" w:ascii="宋体" w:hAnsi="宋体"/>
                <w:color w:val="auto"/>
                <w:kern w:val="0"/>
                <w:szCs w:val="21"/>
                <w:highlight w:val="none"/>
              </w:rPr>
              <w:t>价格评分 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1423" w:hRule="atLeast"/>
          <w:jc w:val="center"/>
        </w:trPr>
        <w:tc>
          <w:tcPr>
            <w:tcW w:w="9377" w:type="dxa"/>
            <w:gridSpan w:val="6"/>
            <w:noWrap w:val="0"/>
            <w:vAlign w:val="center"/>
          </w:tcPr>
          <w:p>
            <w:pPr>
              <w:widowControl/>
              <w:shd w:val="clear"/>
              <w:snapToGrid w:val="0"/>
              <w:spacing w:line="300" w:lineRule="auto"/>
              <w:ind w:left="210" w:leftChars="100" w:firstLine="480" w:firstLineChars="200"/>
              <w:jc w:val="left"/>
              <w:rPr>
                <w:rFonts w:ascii="宋体" w:hAnsi="宋体"/>
                <w:color w:val="auto"/>
                <w:kern w:val="0"/>
                <w:szCs w:val="21"/>
                <w:highlight w:val="none"/>
              </w:rPr>
            </w:pPr>
            <w:r>
              <w:rPr>
                <w:rFonts w:ascii="Times New Roman" w:hAnsi="Times New Roman" w:eastAsia="FangSong_GB2312"/>
                <w:color w:val="auto"/>
                <w:sz w:val="24"/>
                <w:highlight w:val="none"/>
              </w:rPr>
              <w:t>价格评审满分</w:t>
            </w:r>
            <w:r>
              <w:rPr>
                <w:rFonts w:hint="eastAsia" w:ascii="Times New Roman" w:hAnsi="Times New Roman" w:eastAsia="FangSong_GB2312"/>
                <w:color w:val="auto"/>
                <w:sz w:val="24"/>
                <w:highlight w:val="none"/>
              </w:rPr>
              <w:t>20</w:t>
            </w:r>
            <w:r>
              <w:rPr>
                <w:rFonts w:ascii="Times New Roman" w:hAnsi="Times New Roman" w:eastAsia="FangSong_GB2312"/>
                <w:color w:val="auto"/>
                <w:sz w:val="24"/>
                <w:highlight w:val="none"/>
              </w:rPr>
              <w:t>分</w:t>
            </w:r>
            <w:r>
              <w:rPr>
                <w:rFonts w:hint="eastAsia" w:ascii="Times New Roman" w:hAnsi="Times New Roman" w:eastAsia="FangSong_GB2312"/>
                <w:color w:val="auto"/>
                <w:sz w:val="24"/>
                <w:highlight w:val="none"/>
                <w:lang w:eastAsia="zh-CN"/>
              </w:rPr>
              <w:t>，</w:t>
            </w:r>
            <w:r>
              <w:rPr>
                <w:rFonts w:ascii="Times New Roman" w:hAnsi="Times New Roman" w:eastAsia="FangSong_GB2312"/>
                <w:color w:val="auto"/>
                <w:sz w:val="24"/>
                <w:highlight w:val="none"/>
              </w:rPr>
              <w:t>评分方法如下：各参选机构中报价最小的价格为基准价格，该机构价格评审为满分。其他参选机构的价格得分按照下列公式计算：价格得分=基准价格/机构报价×</w:t>
            </w:r>
            <w:r>
              <w:rPr>
                <w:rFonts w:hint="eastAsia" w:ascii="Times New Roman" w:hAnsi="Times New Roman" w:eastAsia="FangSong_GB2312"/>
                <w:color w:val="auto"/>
                <w:sz w:val="24"/>
                <w:highlight w:val="none"/>
              </w:rPr>
              <w:t>20</w:t>
            </w:r>
            <w:r>
              <w:rPr>
                <w:rFonts w:ascii="Times New Roman" w:hAnsi="Times New Roman" w:eastAsia="FangSong_GB2312"/>
                <w:color w:val="auto"/>
                <w:sz w:val="24"/>
                <w:highlight w:val="none"/>
              </w:rPr>
              <w:t>（精确到0.01）。报价大小</w:t>
            </w:r>
            <w:r>
              <w:rPr>
                <w:rFonts w:hint="eastAsia" w:ascii="Times New Roman" w:hAnsi="Times New Roman" w:eastAsia="FangSong_GB2312"/>
                <w:color w:val="auto"/>
                <w:sz w:val="24"/>
                <w:highlight w:val="none"/>
              </w:rPr>
              <w:t>写</w:t>
            </w:r>
            <w:r>
              <w:rPr>
                <w:rFonts w:ascii="Times New Roman" w:hAnsi="Times New Roman" w:eastAsia="FangSong_GB2312"/>
                <w:color w:val="auto"/>
                <w:sz w:val="24"/>
                <w:highlight w:val="none"/>
              </w:rPr>
              <w:t>不一</w:t>
            </w:r>
            <w:r>
              <w:rPr>
                <w:rFonts w:hint="eastAsia" w:ascii="FangSong_GB2312" w:hAnsi="FangSong_GB2312" w:eastAsia="FangSong_GB2312" w:cs="FangSong_GB2312"/>
                <w:color w:val="auto"/>
                <w:sz w:val="24"/>
                <w:highlight w:val="none"/>
              </w:rPr>
              <w:t>致时，以大写报价为准。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705" w:hRule="atLeast"/>
          <w:jc w:val="center"/>
        </w:trPr>
        <w:tc>
          <w:tcPr>
            <w:tcW w:w="1361" w:type="dxa"/>
            <w:noWrap w:val="0"/>
            <w:vAlign w:val="center"/>
          </w:tcPr>
          <w:p>
            <w:pPr>
              <w:shd w:val="clear"/>
              <w:jc w:val="left"/>
              <w:rPr>
                <w:color w:val="auto"/>
                <w:highlight w:val="none"/>
              </w:rPr>
            </w:pPr>
            <w:r>
              <w:rPr>
                <w:rFonts w:hint="eastAsia"/>
                <w:color w:val="auto"/>
                <w:highlight w:val="none"/>
              </w:rPr>
              <w:t>价格得分</w:t>
            </w:r>
          </w:p>
        </w:tc>
        <w:tc>
          <w:tcPr>
            <w:tcW w:w="5708" w:type="dxa"/>
            <w:noWrap w:val="0"/>
            <w:vAlign w:val="center"/>
          </w:tcPr>
          <w:p>
            <w:pPr>
              <w:shd w:val="clear"/>
              <w:rPr>
                <w:rFonts w:eastAsia="FangSong_GB2312"/>
                <w:color w:val="auto"/>
                <w:highlight w:val="none"/>
              </w:rPr>
            </w:pPr>
            <w:r>
              <w:rPr>
                <w:rFonts w:ascii="Times New Roman" w:hAnsi="Times New Roman" w:eastAsia="FangSong_GB2312"/>
                <w:color w:val="auto"/>
                <w:sz w:val="24"/>
                <w:highlight w:val="none"/>
              </w:rPr>
              <w:t>基准价格</w:t>
            </w:r>
            <w:r>
              <w:rPr>
                <w:rFonts w:hint="eastAsia" w:ascii="Times New Roman" w:hAnsi="Times New Roman" w:eastAsia="FangSong_GB2312"/>
                <w:color w:val="auto"/>
                <w:sz w:val="24"/>
                <w:highlight w:val="none"/>
              </w:rPr>
              <w:t>：</w:t>
            </w:r>
            <w:r>
              <w:rPr>
                <w:rFonts w:hint="eastAsia" w:ascii="Times New Roman" w:hAnsi="Times New Roman" w:eastAsia="FangSong_GB2312"/>
                <w:color w:val="auto"/>
                <w:sz w:val="24"/>
                <w:highlight w:val="none"/>
                <w:u w:val="single"/>
              </w:rPr>
              <w:t xml:space="preserve">          </w:t>
            </w:r>
          </w:p>
        </w:tc>
        <w:tc>
          <w:tcPr>
            <w:tcW w:w="1180" w:type="dxa"/>
            <w:noWrap w:val="0"/>
            <w:vAlign w:val="center"/>
          </w:tcPr>
          <w:p>
            <w:pPr>
              <w:shd w:val="clear"/>
              <w:jc w:val="center"/>
              <w:rPr>
                <w:rFonts w:ascii="Times New Roman" w:hAnsi="Times New Roman"/>
                <w:color w:val="auto"/>
                <w:sz w:val="24"/>
                <w:highlight w:val="none"/>
              </w:rPr>
            </w:pPr>
          </w:p>
        </w:tc>
        <w:tc>
          <w:tcPr>
            <w:tcW w:w="450"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c>
          <w:tcPr>
            <w:tcW w:w="438"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c>
          <w:tcPr>
            <w:tcW w:w="240"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705" w:hRule="atLeast"/>
          <w:jc w:val="center"/>
        </w:trPr>
        <w:tc>
          <w:tcPr>
            <w:tcW w:w="1361" w:type="dxa"/>
            <w:noWrap w:val="0"/>
            <w:vAlign w:val="center"/>
          </w:tcPr>
          <w:p>
            <w:pPr>
              <w:shd w:val="clear"/>
              <w:jc w:val="left"/>
              <w:rPr>
                <w:rFonts w:hint="eastAsia" w:eastAsia="宋体"/>
                <w:b/>
                <w:bCs/>
                <w:color w:val="auto"/>
                <w:highlight w:val="none"/>
                <w:lang w:val="en-US" w:eastAsia="zh-CN"/>
              </w:rPr>
            </w:pPr>
            <w:r>
              <w:rPr>
                <w:rFonts w:hint="eastAsia"/>
                <w:b/>
                <w:bCs/>
                <w:color w:val="auto"/>
                <w:highlight w:val="none"/>
                <w:lang w:val="en-US" w:eastAsia="zh-CN"/>
              </w:rPr>
              <w:t>总分</w:t>
            </w:r>
          </w:p>
        </w:tc>
        <w:tc>
          <w:tcPr>
            <w:tcW w:w="5708" w:type="dxa"/>
            <w:noWrap w:val="0"/>
            <w:vAlign w:val="center"/>
          </w:tcPr>
          <w:p>
            <w:pPr>
              <w:shd w:val="clear"/>
              <w:rPr>
                <w:rFonts w:hint="default" w:ascii="Times New Roman" w:hAnsi="Times New Roman" w:eastAsia="FangSong_GB2312"/>
                <w:b/>
                <w:bCs/>
                <w:color w:val="auto"/>
                <w:sz w:val="24"/>
                <w:highlight w:val="none"/>
                <w:lang w:val="en-US" w:eastAsia="zh-CN"/>
              </w:rPr>
            </w:pPr>
            <w:r>
              <w:rPr>
                <w:rFonts w:hint="eastAsia" w:ascii="Times New Roman" w:hAnsi="Times New Roman" w:eastAsia="FangSong_GB2312"/>
                <w:b/>
                <w:bCs/>
                <w:color w:val="auto"/>
                <w:sz w:val="24"/>
                <w:highlight w:val="none"/>
                <w:lang w:val="en-US" w:eastAsia="zh-CN"/>
              </w:rPr>
              <w:t>总分=技术+商务+价格得分</w:t>
            </w:r>
          </w:p>
        </w:tc>
        <w:tc>
          <w:tcPr>
            <w:tcW w:w="1180" w:type="dxa"/>
            <w:noWrap w:val="0"/>
            <w:vAlign w:val="center"/>
          </w:tcPr>
          <w:p>
            <w:pPr>
              <w:shd w:val="clear"/>
              <w:jc w:val="center"/>
              <w:rPr>
                <w:rFonts w:ascii="Times New Roman" w:hAnsi="Times New Roman"/>
                <w:color w:val="auto"/>
                <w:sz w:val="24"/>
                <w:highlight w:val="none"/>
              </w:rPr>
            </w:pPr>
          </w:p>
        </w:tc>
        <w:tc>
          <w:tcPr>
            <w:tcW w:w="450"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c>
          <w:tcPr>
            <w:tcW w:w="438"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c>
          <w:tcPr>
            <w:tcW w:w="240" w:type="dxa"/>
            <w:noWrap w:val="0"/>
            <w:vAlign w:val="center"/>
          </w:tcPr>
          <w:p>
            <w:pPr>
              <w:widowControl/>
              <w:shd w:val="clear"/>
              <w:snapToGrid w:val="0"/>
              <w:spacing w:line="300" w:lineRule="auto"/>
              <w:ind w:left="210" w:leftChars="100"/>
              <w:jc w:val="center"/>
              <w:rPr>
                <w:rFonts w:ascii="宋体" w:hAnsi="宋体"/>
                <w:color w:val="auto"/>
                <w:kern w:val="0"/>
                <w:szCs w:val="21"/>
                <w:highlight w:val="none"/>
              </w:rPr>
            </w:pPr>
          </w:p>
        </w:tc>
      </w:tr>
    </w:tbl>
    <w:p>
      <w:pPr>
        <w:pStyle w:val="7"/>
        <w:shd w:val="clear" w:color="auto"/>
        <w:spacing w:before="0" w:after="0" w:line="240" w:lineRule="auto"/>
        <w:ind w:right="102"/>
        <w:jc w:val="both"/>
        <w:rPr>
          <w:color w:val="auto"/>
          <w:sz w:val="24"/>
          <w:szCs w:val="24"/>
          <w:highlight w:val="none"/>
        </w:rPr>
      </w:pPr>
      <w:r>
        <w:rPr>
          <w:rFonts w:hint="eastAsia" w:ascii="FangSong_GB2312" w:hAnsi="FangSong_GB2312" w:eastAsia="FangSong_GB2312" w:cs="FangSong_GB2312"/>
          <w:bCs w:val="0"/>
          <w:color w:val="auto"/>
          <w:highlight w:val="none"/>
        </w:rPr>
        <w:t>备注：</w:t>
      </w:r>
      <w:r>
        <w:rPr>
          <w:rFonts w:hint="eastAsia" w:ascii="FangSong_GB2312" w:hAnsi="FangSong_GB2312" w:eastAsia="FangSong_GB2312" w:cs="FangSong_GB2312"/>
          <w:color w:val="auto"/>
          <w:highlight w:val="none"/>
        </w:rPr>
        <w:t>参选机构如未提交相关证明材料的，该项评分为零分。</w:t>
      </w:r>
      <w:bookmarkEnd w:id="0"/>
      <w:bookmarkEnd w:id="1"/>
      <w:bookmarkEnd w:id="2"/>
      <w:bookmarkEnd w:id="3"/>
      <w:bookmarkEnd w:id="4"/>
      <w:bookmarkEnd w:id="5"/>
    </w:p>
    <w:p>
      <w:pPr>
        <w:shd w:val="clear"/>
        <w:spacing w:line="500" w:lineRule="exact"/>
        <w:rPr>
          <w:rFonts w:ascii="FangSong_GB2312" w:hAnsi="FangSong_GB2312" w:eastAsia="FangSong_GB2312" w:cs="FangSong_GB2312"/>
          <w:bCs/>
          <w:color w:val="auto"/>
          <w:szCs w:val="21"/>
          <w:highlight w:val="none"/>
        </w:rPr>
      </w:pPr>
    </w:p>
    <w:p>
      <w:pPr>
        <w:shd w:val="clear"/>
        <w:rPr>
          <w:rFonts w:hint="default" w:ascii="Times New Roman" w:hAnsi="Times New Roman" w:cs="Times New Roman"/>
          <w:color w:val="auto"/>
          <w:highlight w:val="none"/>
        </w:rPr>
      </w:pPr>
    </w:p>
    <w:p>
      <w:bookmarkStart w:id="7" w:name="_GoBack"/>
      <w:bookmarkEnd w:id="7"/>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0000000000000000000"/>
    <w:charset w:val="86"/>
    <w:family w:val="modern"/>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27EFE"/>
    <w:multiLevelType w:val="singleLevel"/>
    <w:tmpl w:val="B2527EFE"/>
    <w:lvl w:ilvl="0" w:tentative="0">
      <w:start w:val="1"/>
      <w:numFmt w:val="decimal"/>
      <w:suff w:val="nothing"/>
      <w:lvlText w:val="%1、"/>
      <w:lvlJc w:val="left"/>
    </w:lvl>
  </w:abstractNum>
  <w:abstractNum w:abstractNumId="1">
    <w:nsid w:val="5000E366"/>
    <w:multiLevelType w:val="singleLevel"/>
    <w:tmpl w:val="5000E366"/>
    <w:lvl w:ilvl="0" w:tentative="0">
      <w:start w:val="1"/>
      <w:numFmt w:val="decimal"/>
      <w:suff w:val="nothing"/>
      <w:lvlText w:val="%1、"/>
      <w:lvlJc w:val="left"/>
    </w:lvl>
  </w:abstractNum>
  <w:abstractNum w:abstractNumId="2">
    <w:nsid w:val="54522C78"/>
    <w:multiLevelType w:val="singleLevel"/>
    <w:tmpl w:val="54522C78"/>
    <w:lvl w:ilvl="0" w:tentative="0">
      <w:start w:val="1"/>
      <w:numFmt w:val="decimal"/>
      <w:suff w:val="nothing"/>
      <w:lvlText w:val="%1、"/>
      <w:lvlJc w:val="left"/>
    </w:lvl>
  </w:abstractNum>
  <w:abstractNum w:abstractNumId="3">
    <w:nsid w:val="6D6EF8F9"/>
    <w:multiLevelType w:val="singleLevel"/>
    <w:tmpl w:val="6D6EF8F9"/>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34806"/>
    <w:rsid w:val="4B8341E7"/>
    <w:rsid w:val="4F5E3399"/>
    <w:rsid w:val="52222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customStyle="1" w:styleId="5">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null3"/>
    <w:qFormat/>
    <w:uiPriority w:val="0"/>
    <w:rPr>
      <w:rFonts w:hint="eastAsia" w:ascii="Calibri" w:hAnsi="Calibri" w:eastAsia="宋体" w:cs="Times New Roman"/>
      <w:lang w:val="en-US" w:eastAsia="zh-Hans" w:bidi="ar-SA"/>
    </w:rPr>
  </w:style>
  <w:style w:type="paragraph" w:customStyle="1" w:styleId="7">
    <w:name w:val="正文文本 (3)"/>
    <w:basedOn w:val="1"/>
    <w:qFormat/>
    <w:uiPriority w:val="0"/>
    <w:pPr>
      <w:shd w:val="clear" w:color="auto" w:fill="FFFFFF"/>
      <w:spacing w:before="540" w:after="240" w:line="240" w:lineRule="atLeast"/>
      <w:jc w:val="center"/>
    </w:pPr>
    <w:rPr>
      <w:rFonts w:ascii="微软雅黑" w:eastAsia="微软雅黑"/>
      <w:b/>
      <w:bCs/>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2022-09-05T01:49:00Z</dcterms:created>
  <dc:creator>minzj</dc:creator>
  <cp:lastModifiedBy>越秀区民政收发员</cp:lastModifiedBy>
  <dcterms:modified xsi:type="dcterms:W3CDTF">2025-04-22T03:14:59Z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